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3061.3690221629645"/>
        <w:gridCol w:w="3565.990289552464"/>
        <w:tblGridChange w:id="0">
          <w:tblGrid>
            <w:gridCol w:w="2398.1524993081935"/>
            <w:gridCol w:w="3061.3690221629645"/>
            <w:gridCol w:w="3565.990289552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Cluster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Ejemplos de Temáticas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Automatización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con IA · Integraciones · Flujos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Casos de uso reales, cómo reducir horas de coordinación, ejemplos sectoriales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Aplicaciones Internas &amp;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Apps internas · Notion · n8n · GoHighLevel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Centralizar tareas, dashboards de control, integraciones prácticas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Ventas &amp;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Resúmenes automáticos de reuniones · Precalificación dinámica ·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Cómo mejorar seguimiento de clientes, lead scoring inteligente, reducir reuniones improductivas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Conocimiento 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Wiki de empresa · Chatbots internos · Gestión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Chatbots con datos internos, gestión del conocimiento, FAQs automatizadas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Desarrollo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Webs modernas · Landing pages · Plataformas con 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Webs optimizadas para conversión, rendimiento y seguridad, casos prácticos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Transformación Empresarial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Estrategia · Casos de éxito · ROI de la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Impacto en pymes, retorno medible, buenas prácticas y errores comunes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