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0"/>
        <w:jc w:val="center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CRM Comercial — Arquitetura e Plano de Implantação</w:t>
      </w:r>
    </w:p>
    <w:p>
      <w:pPr>
        <w:spacing w:after="400" w:before="0"/>
        <w:jc w:val="center"/>
      </w:pPr>
      <w:r>
        <w:rPr>
          <w:rFonts w:ascii="Arial" w:cs="Arial" w:eastAsia="Arial" w:hAnsi="Arial"/>
          <w:color w:val="595959"/>
          <w:sz w:val="24"/>
          <w:szCs w:val="24"/>
        </w:rPr>
        <w:t xml:space="preserve">Documento técnico para implementação via Claude Code</w:t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1. Arquitetura Geral da Aplicação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A aplicação segue uma arquitetura em camadas clara, com separação de responsabilidades e acoplamento mínimo entre camadas. Cada camada se comunica apenas com a camada imediatamente adjacente — nunca saltando níveis.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1.1 Visão de Camadas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┌─────────────────────────────────────────────────────┐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│            CAMADA DE APRESENTAÇÃO                   │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│  Next.js 14 App Router + Tailwind + shadcn/ui       │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│  PWA (next-pwa) — responsivo mobile-first           │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├─────────────────────────────────────────────────────┤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│              CAMADA DE API                          │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│  tRPC (interno) + REST/OpenAPI 3.0 (externo)        │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│  Middleware: auth (Clerk), tenant, rate limit       │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├─────────────────────────────────────────────────────┤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│           CAMADA DE APLICAÇÃO                       │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│  Casos de uso / serviços de domínio                 │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│  Orquestração: pipeline, alertas, aprovações, IA    │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├─────────────────────────────────────────────────────┤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│             CAMADA DE DOMÍNIO                       │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│  Entidades, repositórios, regras de negócio         │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│  Validação Zod — contratos de dados                 │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├─────────────────────────────────────────────────────┤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│          CAMADA DE INFRAESTRUTURA                   │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│  PostgreSQL + Prisma (Neon)  │  S3 / Object Storage │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│  Resend (email)              │  BullMQ / Redis(jobs)│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│  Clerk (auth)                │  Stripe (billing)    │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│  AI providers (masked)       │  Cloudflare (WAF/CDN)│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└─────────────────────────────────────────────────────┘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             CORTE TRANSVERSAL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  Logging estruturado │ Audit log imutável │ RBAC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  Observabilidade     │ Circuit breakers   │ Secrets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1.2 Stack Técnico Definitivo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Frontend / BFF: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Next.js 14 (App Router) — SSR e RSC para performance inicial, CSR para interatividade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Tailwind CSS + shadcn/ui — componentes acessíveis, mobile-first, sem CSS custom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Zustand — state management leve para estado global do cliente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React Query (TanStack Query) — cache e sincronização de dados do servidor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next-pwa (Serwist) — service worker, push notifications, offline cache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API e Backend: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tRPC — API type-safe interna Next.js ↔ frontend; procedures organizadas por módulo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REST + OpenAPI 3.0 — endpoints versionados /api/v1/ para integrações externas; documentação Swagger UI embutida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Zod — validação de schemas compartilhada entre client e server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BullMQ + Redis — filas de jobs assíncronos: envio de e-mail, processamento de IA, importação de dados, cron de alertas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Banco de Dados: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PostgreSQL (Neon serverless) — free tier para MVP, escala sem migração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Prisma ORM — schema-first, migrations versionadas, type safety completa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Row Level Security (RLS) PostgreSQL — isolamento de tenant reforçado a nível de banco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pgvector — extensão para vector search (busca semântica no histórico de comunicações)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Autenticação e Acesso: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Clerk — Google OAuth, Microsoft OAuth, magic link, email+senha, TOTP 2FA, audit log de sessões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RBAC customizado — middleware Next.js valida perfil + tenant em cada request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Serviços de Suporte: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Resend — e-mail transacional (alertas, notificações, magic links)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AWS S3 / Cloudflare R2 / GCS — storage de documentos e templates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Stripe — billing SaaS: planos, trials, cobranças recorrentes, portal do cliente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Cloudflare — WAF, CDN, DDoS protection, rate limiting na borda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Unleash (self-hosted) — feature flags por plano de licença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IA e Machine Learning: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Anthropic SDK — Claude Haiku (resumos, extração rápida), Claude Sonnet (análise complexa, comparação de versões)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Perplexity API — benchmarks de mercado (fallbacks: Gemini API, OpenAI Web Search)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pgvector — embeddings locais para busca semântica (modelo: text-embedding-3-small via OpenAI ou alternativa open-source)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Observabilidade e Infra: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Docker + Docker Compose — desenvolvimento local e CI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Helm chart — distribuição Kubernetes para cloud marketplaces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GitHub Actions — CI/CD pipeline completo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Sentry — error tracking e performance monitoring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Axiom ou Logtail — logs estruturados em produção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1.3 Fluxo de uma Requisição Típica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Browser/PWA  →  Cloudflare (WAF + Rate Limit)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             →  Next.js Edge Middleware (auth Clerk + tenant_id)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             →  tRPC Router (validação Zod + RBAC)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             →  Service Layer (regra de negócio)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             →  Prisma + RLS (query com tenant_id obrigatório)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             →  Neon PostgreSQL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             ←  Response (serializado + cache headers)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Jobs assíncronos (alertas, IA, email): Service → BullMQ → Redis → Worker → Resend / AI Provider (via Data Masking Layer)</w:t>
      </w:r>
    </w:p>
    <w:p>
      <w:pPr>
        <w:spacing w:after="60" w:before="6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2. Banco de Dados — Estratégia Free-to-Scale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2.1 Neon PostgreSQL como Plataforma Base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Neon é PostgreSQL serverless nativo, com free tier generoso e caminho de upgrade sem migração de dados ou mudança de driver. É a escolha ideal para iniciar com custo zero e crescer sem reescrever infraestrutura.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Free tier Neon: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512 MB de storage — suficiente para MVP com dados reais de múltiplos tenants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Compute autoescalável — hiberna quando inativo (zero custo em desenvolvimento)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Branching de banco: cada branch é um clone point-in-time — usado para ambientes de teste e staging isolados sem custo adicional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PostgreSQL 15+ com suporte nativo a pgvector e RLS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Roadmap de evolução de banco: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MVP (0-500 usuários): Neon Free → Neon Launch (US$ 19/mês, 10 GB storage)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Crescimento (500-5.000 usuários): Neon Scale (US$ 69/mês) ou Supabase Pro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Enterprise (5.000+ usuários): AWS RDS PostgreSQL Multi-AZ, GCP Cloud SQL com réplicas de leitura, ou OCI Autonomous Database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A troca de plataforma exige apenas mudança de connection string — Prisma e o código da aplicação não mudam.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2.2 Estratégia de Multi-tenancy no Banco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Abordagem: Schema compartilhado com tenant_id + Row Level Security (RLS)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Todas as tabelas possuem coluna tenant_id (UUID) como chave de isolamento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Políticas RLS no PostgreSQL garantem que nenhuma query retorne linhas de outro tenant — mesmo que a aplicação esqueça o filtro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Middleware Prisma adiciona cláusula WHERE tenant_id = ? automaticamente em todas as queries via extensão Prisma Middleware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Testes de isolamento automatizados: usuário de tenant A tenta acessar dados de tenant B — esperado: zero resultados ou erro 403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Alternativa para enterprise: schema separado por tenant (maior isolamento, maior complexidade operacional) — disponível como opção configurável no onboarding.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2.3 Schema de Entidades Principais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tenants              (id, name, slug, plan, created_at)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users                (id, tenant_id, clerk_user_id, role, ...)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companies            (id, tenant_id, type, name, cnpj, country, ...)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contacts             (id, tenant_id, company_id, email [unique], ...)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important_dates      (id, tenant_id, entity_type, entity_id, date, ...)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opportunities        (id, tenant_id, stage, company_id, owner_id, ...)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opportunity_team     (opportunity_id, user_id)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activities           (id, tenant_id, opportunity_id, type, ...)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tasks                (id, tenant_id, opportunity_id, due_date, ...)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proposals            (id, tenant_id, opportunity_id, version, ...)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approvals            (id, tenant_id, proposal_id, status, ...)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contracts            (id, tenant_id, opportunity_id, status, ...)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partners             (id, tenant_id, company_id, commission_pct, ...)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documents            (id, tenant_id, entity_type, entity_id, ...)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ai_usage_logs        (id, tenant_id, provider, tokens_in, tokens_out, ...)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audit_logs           (id, tenant_id, user_id, action, table_name, ...)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alert_logs           (id, tenant_id, type, entity_id, sent_at, ...)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embeddings           (id, tenant_id, entity_id, vector [pgvector], ...)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Todas as tabelas: created_at, updated_at, created_by, updated_by, deleted_at (soft delete).</w:t>
      </w:r>
    </w:p>
    <w:p>
      <w:pPr>
        <w:spacing w:after="60" w:before="6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3. Ambientes, CI/CD e Branching Strategy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3.1 Ambientes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Development (local):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Docker Compose: Next.js app + PostgreSQL local + Redis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Neon branch "dev" para compartilhamento entre devs sem conflito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Variáveis .env.local — nunca commitadas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Staging: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Deploy automático a cada merge na branch main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Neon branch "staging" — clone do schema de produção, dados de teste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Clerk ambiente de staging (credenciais separadas)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Smoke tests E2E automáticos pós-deploy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Production: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Deploy manual com aprovação (GitHub Environments)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Neon main branch — dados reais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Cloudflare na frente — WAF ativo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Rollback automático se health check falhar em 5 minutos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3.2 Pipeline CI/CD — GitHub Actions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Trigger: push / pull request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/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Job 1 — Quality Gate: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  ├─ lint (ESLint + Prettier)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  ├─ type-check (tsc --noEmit)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  ├─ unit tests (Vitest)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  └─ security scan (Semgrep SAST)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/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Job 2 — Build: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  ├─ next build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  └─ docker build + push (GHCR)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/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Job 3 — Integration Tests (branch staging):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  ├─ migrate Neon staging branch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  ├─ seed test data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  └─ integration tests (Supertest)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/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Job 4 — E2E Tests (branch staging):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  └─ Playwright critical flows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/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Job 5 — Deploy (main → staging / tag → prod):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  ├─ migrate banco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  ├─ deploy Vercel / ECS / Cloud Run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  └─ smoke tests + rollback automático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3.3 Branching Strategy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main — branch de produção protegida; merge apenas via PR aprovado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develop — integração contínua; CI roda a cada push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feature/xxx — branch por funcionalidade; vive no máximo 1 sprint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fix/xxx — hotfix direto para main com PR emergencial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Neon branches: uma branch de banco por feature branch — descartada no merge</w:t>
      </w:r>
    </w:p>
    <w:p>
      <w:pPr>
        <w:spacing w:after="60" w:before="6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4. Plano de Sprints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Cada sprint tem duração de 1-2 semanas. A definição de "done" para qualquer sprint inclui: código em produção (staging), testes passando, sem regressões, documentação de API atualizada.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MVP funcional para uso interno: Sprints 0 a 9 (~15 semanas). Produto pronto para comercialização: Sprints 0 a 14 (~20 semanas).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Sprint 0 — Foundation (Semana 1)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Objetivo: </w:t>
      </w:r>
      <w:r>
        <w:rPr>
          <w:rFonts w:ascii="Arial" w:cs="Arial" w:eastAsia="Arial" w:hAnsi="Arial"/>
          <w:sz w:val="22"/>
          <w:szCs w:val="22"/>
        </w:rPr>
        <w:t xml:space="preserve">Base técnica completa antes de escrever qualquer feature.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Repositório GitHub com monorepo Next.js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CLAUDE.md com stack, convenções e regras de negócio críticas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Docker + docker-compose (app + postgres local + redis)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Schema Prisma completo: todas as entidades do domínio com relacionamentos, índices e RLS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Middleware de multi-tenancy: extração de tenant_id do JWT Clerk em todo request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Middleware RBAC: verificação de perfil de acesso em rotas protegidas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Pipeline CI/CD GitHub Actions: lint + type-check + test + build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Ambientes configurados: dev (local), staging (Neon branch), prod (Neon main)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Health check endpoint + Sentry configurado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Critério de aceite: aplicação buildando e deployando no staging com schema migrado e health check verde.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Sprint 1 — Autenticação e Cadastros Base (Semanas 2-3)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Objetivo: </w:t>
      </w:r>
      <w:r>
        <w:rPr>
          <w:rFonts w:ascii="Arial" w:cs="Arial" w:eastAsia="Arial" w:hAnsi="Arial"/>
          <w:sz w:val="22"/>
          <w:szCs w:val="22"/>
        </w:rPr>
        <w:t xml:space="preserve">Sistema funcional de login e cadastros fundamentais.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Clerk: Google OAuth, Microsoft OAuth, magic link, email+senha, TOTP 2FA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Super Admin: onboarding de novo tenant (Empresa Vendedora), configurações iniciais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Cadastro de Empresa (cliente, parceiro, fornecedor) com todos os campos: País, Estado, Cidade, Território, Segmento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Cadastro de Contato com e-mail obrigatório único, datas importantes e auto-cadastramento via link público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Cadastro de Produto/Serviço com margem mínima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Cadastro de Usuário com perfis (Admin, Diretor, Gestor, Analista, Parceiro)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Território e Segmento configuráveis pelo Admin do tenant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Log de acessos (IP, device, método, timestamp) por usuário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Critério de aceite: login com Google/Microsoft funcional, TOTP 2FA configurável, CRUD completo de cadastros com isolamento de tenant verificado.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Sprint 2 — Pipeline Comercial (Semanas 4-5)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Objetivo: </w:t>
      </w:r>
      <w:r>
        <w:rPr>
          <w:rFonts w:ascii="Arial" w:cs="Arial" w:eastAsia="Arial" w:hAnsi="Arial"/>
          <w:sz w:val="22"/>
          <w:szCs w:val="22"/>
        </w:rPr>
        <w:t xml:space="preserve">Pipeline end-to-end com os 7 estágios funcionando.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Kanban visual dos 7 estágios: Prospect → Lead → Oportunidade → Proposta → Negociação → Aceite → Contrato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CRUD completo de oportunidades com todos os campos por estágio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Movimentação entre estágios com validação de campos obrigatórios antes de avançar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Cancelamento com motivo e soft delete em todos os estágios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Seleção de parceiro via cadastro real (não texto livre) com fluxo de aprovação de engajamento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Conceito de equipe por oportunidade: responsável principal + membros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NDA e Termo de Responsabilidade Individual no estágio Contrato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Dados de faturamento (valores e datas de parcelas) no Contrato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Critério de aceite: oportunidade criada em Prospect percorre todos os estágios até Contrato com todos os campos salvos e histórico preservado.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Sprint 3 — Sistema de Alertas (Semana 6)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Objetivo: </w:t>
      </w:r>
      <w:r>
        <w:rPr>
          <w:rFonts w:ascii="Arial" w:cs="Arial" w:eastAsia="Arial" w:hAnsi="Arial"/>
          <w:sz w:val="22"/>
          <w:szCs w:val="22"/>
        </w:rPr>
        <w:t xml:space="preserve">Notificações proativas para datas de relacionamento e pipeline.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Datas importantes em empresas e contatos com flag Alerta Ativo/Inativo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Datas previstas no pipeline por estágio com flag de alerta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Cron job diário (BullMQ) de verificação — antecedência configurável (padrão: 7 e 1 dia)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Central de alertas no dashboard: seção Relacionamento e seção Pipeline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Disparo de e-mail simultâneo (Resend): responsável pela oportunidade + Central de CRM do tenant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Campo de e-mails de gestores para alertas de renovação de contrato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Critério de aceite: data de relacionamento com alerta ativo gera e-mail ao responsável 7 dias antes; alerta aparece no dashboard.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Sprint 4 — Atividades, Tarefas e IA Básica (Semanas 7-8)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Objetivo: </w:t>
      </w:r>
      <w:r>
        <w:rPr>
          <w:rFonts w:ascii="Arial" w:cs="Arial" w:eastAsia="Arial" w:hAnsi="Arial"/>
          <w:sz w:val="22"/>
          <w:szCs w:val="22"/>
        </w:rPr>
        <w:t xml:space="preserve">Módulo de produtividade com IA integrada para resumo de comunicações.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Linha do tempo de atividades por oportunidade (manual e gerada pelo sistema)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Receptor de comunicações: usuário cola texto (e-mail ou WhatsApp) → Claude Haiku gera resumo estruturado em 4 blocos (temas, ajustes, decisões, próximos passos com datas)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Resumo editável → confirmação de tarefas e datas → criação automática de tasks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Gestão de tarefas: criar, atribuir, data de vencimento, status, cobrança por e-mail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Escalonamento de tarefas atrasadas: sinalização vermelha no dashboard + re-alerta por e-mail + escalonamento para supervisor após X dias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Configuração de IA por tenant: seleção de provider, modelo, API key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Medidor de tokens consumidos e custo por tenant (tabela de preços de referência)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Critério de aceite: texto colado gera resumo IA em &lt; 5 segundos; tarefas criadas com datas aparecem no calendário; token usage registrado com custo calculado.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Sprint 5 — Relatórios, Analytics e Equipe (Semanas 9-10)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Objetivo: </w:t>
      </w:r>
      <w:r>
        <w:rPr>
          <w:rFonts w:ascii="Arial" w:cs="Arial" w:eastAsia="Arial" w:hAnsi="Arial"/>
          <w:sz w:val="22"/>
          <w:szCs w:val="22"/>
        </w:rPr>
        <w:t xml:space="preserve">Visibilidade completa sobre o ciclo comercial com filtros dinâmicos.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Estrutura dinâmica de relatórios: seleção múltipla de dimensões e métricas, períodos customizados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Funil de pipeline por estágio com taxas de conversão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Performance por responsável com comparativo à média do time (Seção 7.4)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Parâmetros de conversão editáveis + Claude Haiku para sugerir % baseado em histórico do tenant ou benchmark de mercado (Perplexity)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Projeção de receita com cenários best/worst/base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Exportação para Excel (xlsx) e PDF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Visibilidade por perfil: Gestor vê suas oportunidades + média comparativa; Diretor vê tudo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Critério de aceite: relatório de pipeline filtrando por período + responsável + estágio exporta corretamente; gestor não vê dados de outro gestor.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Sprint 6 — Comunicações, Busca e Gestão de E-mail (Semana 11)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Objetivo: </w:t>
      </w:r>
      <w:r>
        <w:rPr>
          <w:rFonts w:ascii="Arial" w:cs="Arial" w:eastAsia="Arial" w:hAnsi="Arial"/>
          <w:sz w:val="22"/>
          <w:szCs w:val="22"/>
        </w:rPr>
        <w:t xml:space="preserve">Centralizar histórico de comunicações com vinculação inteligente por IA.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Endereço de e-mail único por tenant para recebimento (via webhook de provedores como Postmark Inbound ou Resend Inbound)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Vinculação automática por IA: e-mail recebido → identifica remetente/destinatário no cadastro → sugere oportunidade vinculada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Referência manual por código #ID no assunto como alternativa de vinculação garantida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Busca em linguagem natural no histórico de comunicações: query do usuário → embedding → pgvector cosine search → reranking com Claude Haiku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Critério de aceite: e-mail encaminhado para endereço do tenant aparece vinculado à oportunidade correta; busca por "reunião sobre orçamento de março" retorna resultados relevantes.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Sprint 7 — Parceiros e Documentos (Semanas 12-13)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Objetivo: </w:t>
      </w:r>
      <w:r>
        <w:rPr>
          <w:rFonts w:ascii="Arial" w:cs="Arial" w:eastAsia="Arial" w:hAnsi="Arial"/>
          <w:sz w:val="22"/>
          <w:szCs w:val="22"/>
        </w:rPr>
        <w:t xml:space="preserve">Módulos de parceiros e gestão de documentos completos.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Cadastro de Empresa Parceira com vínculo N:N aprovado à Empresa Vendedora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Perfil de acesso parceiro: vê apenas oportunidades em que está engajado e aprovado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Aceite de T&amp;C por oportunidade com registro de data e versão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Comissão configurável por vínculo Parceiro-Vendedor, herdada automaticamente nas oportunidades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Visão consolidada de parceiros e relatório de comissões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Biblioteca de templates: upload de Admin por categoria (institucional, proposta técnica, orçamento, contrato, NDA, Termo de Responsabilidade)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Documentos por oportunidade com versionamento e log de quem alterou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Comparador de versões de documentos com resumo gerado por Claude Haiku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Critério de aceite: parceiro logado não vê oportunidades de outros parceiros; template de proposta enviado ao cliente via oportunidade com número de versão incrementado.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Sprint 8 — Propostas, Aprovações e Contratos (Semanas 14-15)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Objetivo: </w:t>
      </w:r>
      <w:r>
        <w:rPr>
          <w:rFonts w:ascii="Arial" w:cs="Arial" w:eastAsia="Arial" w:hAnsi="Arial"/>
          <w:sz w:val="22"/>
          <w:szCs w:val="22"/>
        </w:rPr>
        <w:t xml:space="preserve">Fluxo de aprovação de propostas e gestão de contratos ativos.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Fluxo de aprovação configurável pelo Admin: (a) revisão universal, (b) a partir de margem mínima, (c) a partir de valor de faturamento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Bloqueio de avanço para Negociação até aprovações registradas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Versionamento de propostas com comparador IA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Gestão de contratos ativos: valor, parcelas, datas, recursos, documentos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Alertas de renovação: 90, 60 e 30 dias (configurável) com e-mails de gestores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Handoff automático ao formalizar contrato: relatório com CNPJ, valores, datas de parcelas, recursos previstos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Histórico de relacionamento: reuniões de feedback IA-assistidas + eventos trimestrais para contratos recorrentes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Renovação de contrato: dispara novo ciclo de pipeline com dados pré-preenchidos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Critério de aceite: proposta abaixo da margem mínima bloqueada até aprovação do diretor; contrato gerado dispara handoff por e-mail a operações e financeiro.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Sprint 9 — Importação de Dados (Semana 16)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Objetivo: </w:t>
      </w:r>
      <w:r>
        <w:rPr>
          <w:rFonts w:ascii="Arial" w:cs="Arial" w:eastAsia="Arial" w:hAnsi="Arial"/>
          <w:sz w:val="22"/>
          <w:szCs w:val="22"/>
        </w:rPr>
        <w:t xml:space="preserve">Migração de CRMs existentes por upload de planilha.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Upload CSV/XLSX com pré-visualização de 10 linhas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Mapeamento visual de colunas (arrastar coluna do arquivo → campo do CRM)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Validação automática: campos obrigatórios, formatos (CNPJ, e-mail), duplicatas por CNPJ/e-mail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Relatório de pré-importação: total válidos, erros por linha com motivo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Processamento em background via BullMQ com barra de progresso e e-mail de conclusão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Deduplicação: usuário escolhe ignorar duplicata, atualizar registro existente ou criar novo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Entidades: Empresas, Contatos, Oportunidades (com histórico), Usuários (Pendente de Ativação)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Critério de aceite: arquivo CSV de 1.000 linhas importado sem timeout; duplicatas sinalizadas corretamente; usuários importados recebem e-mail de ativação.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Sprint 10 — PWA, Mobile e Performance (Semana 17)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Objetivo: </w:t>
      </w:r>
      <w:r>
        <w:rPr>
          <w:rFonts w:ascii="Arial" w:cs="Arial" w:eastAsia="Arial" w:hAnsi="Arial"/>
          <w:sz w:val="22"/>
          <w:szCs w:val="22"/>
        </w:rPr>
        <w:t xml:space="preserve">Experiência mobile-first completa com PWA instalável.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next-pwa (Serwist): manifesto, service worker, ícones, instalação na homescreen iOS e Android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Push notifications: alertas de pipeline e datas de relacionamento no celular (Web Push API)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Modo offline parcial: cache de leitura de contatos e oportunidades recentes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Bottom navigation bar mobile (5 ítens principais)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Tabelas convertidas para cards empilhados em viewport &lt; 768px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Audit de Lighthouse: score ≥ 85 em Performance, Accessibility e PWA em mobile — cada módulo auditado antes de dar sprint como done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Critério de aceite: aplicação instalada na homescreen de iPhone e Android; alerta push recebido no celular sem abrir o browser.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Sprint 11 — Segurança, LGPD e Conformidade (Semana 18)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Objetivo: </w:t>
      </w:r>
      <w:r>
        <w:rPr>
          <w:rFonts w:ascii="Arial" w:cs="Arial" w:eastAsia="Arial" w:hAnsi="Arial"/>
          <w:sz w:val="22"/>
          <w:szCs w:val="22"/>
        </w:rPr>
        <w:t xml:space="preserve">Conformidade legal completa e hardening de segurança.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Cloudflare WAF configurado com regras OWASP Top 10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Rate limiting: 5 tentativas de login / 15min por IP; limites de API por tenant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Security headers completos via middleware Next.js (HSTS, CSP, X-Frame-Options)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Cookie banner granular: categorias, aceite por categoria, registro com timestamp e versão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Política de Privacidade e Termos de Uso com aceite registrado por versão (Marco Civil)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Workflows LGPD: exportar dados pessoais (JSON/CSV), anonimizar/eliminar mediante solicitação formal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Formulário de solicitação de direitos do titular com rastreamento de prazo (15 dias ANPD)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Logs de conexão imutáveis (1 ano) e logs de aplicação (6 meses) em storage separado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Dependency scan (Dependabot) integrado ao CI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Critério de aceite: scan OWASP ZAP sem vulnerabilidades críticas ou altas; solicitação de eliminação LGPD anonimiza dados em &lt; 24h.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Sprint 12 — API Pública e Billing (Semanas 19-20)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Objetivo: </w:t>
      </w:r>
      <w:r>
        <w:rPr>
          <w:rFonts w:ascii="Arial" w:cs="Arial" w:eastAsia="Arial" w:hAnsi="Arial"/>
          <w:sz w:val="22"/>
          <w:szCs w:val="22"/>
        </w:rPr>
        <w:t xml:space="preserve">Produto pronto para integrações externas e comercialização.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REST API pública com OpenAPI 3.0: endpoints /api/v1/ para empresas, contatos, oportunidades, webhooks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API Keys por tenant: geração, rotação e revogação pelo Admin; autenticação via Bearer token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Rate limiting da API pública por plano de licença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Swagger UI embutido em /api/docs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Webhooks para eventos: nova oportunidade, mudança de estágio, contrato assinado, alerta disparado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Stripe: planos (Starter, Pro, Enterprise), trials de 14 dias, cobranças recorrentes mensais/anuais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Feature flags (Unleash): funcionalidades habilitadas por plano (IA desabilitada no Starter, etc.)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Portal do cliente Stripe para autogestão de assinatura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Onboarding flow completo: cadastro → trial → configuração do tenant → primeiro usuário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Docker release image + Helm chart para distribuição em cloud marketplaces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Critério de aceite: integração via API Key cria uma oportunidade e recebe webhook de confirmação; upgrade de plano no Stripe habilita feature flag de IA imediatamente.</w:t>
      </w:r>
    </w:p>
    <w:p>
      <w:pPr>
        <w:spacing w:after="60" w:before="6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5. Pontos de Fragilidade e Riscos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5.1 Riscos Técnicos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RISCO CRÍTICO — Vazamento de dados entre tenants: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Cenário: query Prisma sem filtro tenant_id retorna dados de outro tenant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Probabilidade: Média | Impacto: Crítico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Mitigação: RLS no PostgreSQL como segunda linha de defesa; middleware Prisma injeta tenant_id em toda query; testes automatizados de isolamento em cada sprint; revisão de código obrigatória para toda query de banco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RISCO ALTO — PII enviado para providers de IA: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Cenário: texto com nome, e-mail ou CNPJ de cliente enviado diretamente ao Claude/Perplexity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Probabilidade: Alta (sem controles) | Impacto: Alto (LGPD + reputacional)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Mitigação: Data Masking Layer obrigatório — todo texto passa por anonimização antes de chegar ao provider de IA (ver Seção 7)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RISCO ALTO — Vendor lock-in em Clerk: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Cenário: Clerk descontinua plano ou aumenta preço significativamente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Probabilidade: Baixa | Impacto: Alto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Mitigação: abstraction layer (AuthService interface) que isola Clerk do restante do código; Clerk pode ser substituído por Auth.js sem mudar lógica de negócio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RISCO MÉDIO — Explosão de custo de tokens IA: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Cenário: tenant usa IA intensivamente sem limite; fatura de AI provider ultrapassa receita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Probabilidade: Média | Impacto: Alto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Mitigação: medidor de tokens por tenant (Seção 10); limite mensal configurável com bloqueio suave; alertas de consumo ao Admin; custo repassado como variável ao tenant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RISCO MÉDIO — Neon free tier esgotado: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Cenário: 512 MB de storage atingido antes do upgrade planejado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Probabilidade: Média | Impacto: Médio (downtime parcial)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Mitigação: monitor de storage com alerta em 70% e 90%; upgrade automático no pipeline de deploy se threshold atingido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RISCO MÉDIO — N+1 queries degradando performance: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Cenário: listagem de oportunidades dispara uma query por oportunidade para buscar empresa e contato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Probabilidade: Alta (comum com Prisma sem atenção) | Impacto: Médio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Mitigação: Prisma query logging em desenvolvimento; obrigatoriedade de include explícito em code review; testes de performance por módulo (k6)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RISCO MÉDIO — Upload de arquivo malicioso: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Cenário: usuário sobe arquivo com malware disfarçado de PDF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Probabilidade: Baixa | Impacto: Alto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Mitigação: validação de MIME real no servidor (não extensão); limite de tamanho; scan de conteúdo antes de mover para storage final; arquivos em bucket privado com URLs assinadas de tempo limitado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5.2 Riscos de Conformidade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RISCO CRÍTICO — LGPD sem DPO identificado: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Multa ANPD: até 2% do faturamento nacional, limitado a R$ 50 milhões por infração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Mitigação: DPO identificado na Política de Privacidade antes do go-live; canal de atendimento ao titular operacional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RISCO ALTO — Logs de conexão não retidos pelo Marco Civil: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Obrigação: 1 ano de logs de conexão (IP, data/hora, duração)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Mitigação: storage imutável de logs desde Sprint 0; não deletar logs mesmo em solicitação de eliminação LGPD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RISCO MÉDIO — Cookies sem consentimento adequado: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Mitigação: banner implementado no Sprint 11 antes do go-live público; analytics desativados até consentimento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5.3 Riscos de Negócio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Dependência de Stripe: se Stripe sair do Brasil ou mudar precificação — mitigação: abstraction layer de billing (BillingService interface)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Provider de IA indisponível: Claude API fora do ar impede resumos e comparações — mitigação: circuit breaker com fallback gracioso (funcionalidades de IA desabilitadas com mensagem ao usuário; Claude Haiku → Claude Sonnet → modo manual)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Perda de dados por falha de backup: mitigação: Neon backups automáticos + backup adicional exportado para S3 diariamente; teste de restauração mensal documentado</w:t>
      </w:r>
    </w:p>
    <w:p>
      <w:pPr>
        <w:spacing w:after="60" w:before="6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6. Estratégia de Testes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Pirâmide de testes: 70% unitários (rápidos, isolados), 20% integração (banco real, API real), 10% E2E (fluxos críticos). Cobertura mínima: 80% das linhas de código de domínio.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6.1 Testes Unitários — Vitest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Framework: Vitest (compatível com Next.js, mais rápido que Jest)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Escopo: funções puras de domínio (cálculo de margem, validação de estágio, formatação de alerta, lógica de deduplicação)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Mocks: providers de IA, Resend, Stripe — nunca chamar APIs externas em testes unitários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Cobertura mínima: 80% das funções de domínio e serviços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Executados: a cada commit (&lt; 30 segundos)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6.2 Testes de Integração — Supertest + Prisma Test Client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Framework: Supertest para testes de API; Prisma com banco de teste real (Neon branch isolada)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Escopo: endpoints tRPC e REST, queries de banco com RLS ativo, jobs BullMQ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Banco de teste: Neon branch temporária criada no início da suite, destruída ao final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Seed: massa de dados gerada por script (ver Seção 6.5) carregada antes de cada suite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Testes obrigatórios de isolamento de tenant: usuário de tenant A acessa endpoint com ID de tenant B → espera 403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Executados: a cada PR, em paralelo com testes unitários (&lt; 3 minutos)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6.3 Testes E2E — Playwright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Framework: Playwright (multi-browser: Chromium, Firefox, Safari/WebKit)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Escopo: 10 fluxos críticos de negócio — não testar tudo, testar o que quebra o negócio:</w:t>
      </w:r>
    </w:p>
    <w:p>
      <w:pPr>
        <w:spacing w:after="30" w:before="30"/>
        <w:ind w:left="720"/>
      </w:pPr>
      <w:r>
        <w:rPr>
          <w:rFonts w:ascii="Arial" w:cs="Arial" w:eastAsia="Arial" w:hAnsi="Arial"/>
          <w:sz w:val="22"/>
          <w:szCs w:val="22"/>
        </w:rPr>
        <w:t xml:space="preserve">◦ Login com Google OAuth → criar oportunidade → avançar para Proposta → aprovação → Contrato</w:t>
      </w:r>
    </w:p>
    <w:p>
      <w:pPr>
        <w:spacing w:after="30" w:before="30"/>
        <w:ind w:left="720"/>
      </w:pPr>
      <w:r>
        <w:rPr>
          <w:rFonts w:ascii="Arial" w:cs="Arial" w:eastAsia="Arial" w:hAnsi="Arial"/>
          <w:sz w:val="22"/>
          <w:szCs w:val="22"/>
        </w:rPr>
        <w:t xml:space="preserve">◦ Alerta de data de relacionamento → e-mail recebido → tarefa criada</w:t>
      </w:r>
    </w:p>
    <w:p>
      <w:pPr>
        <w:spacing w:after="30" w:before="30"/>
        <w:ind w:left="720"/>
      </w:pPr>
      <w:r>
        <w:rPr>
          <w:rFonts w:ascii="Arial" w:cs="Arial" w:eastAsia="Arial" w:hAnsi="Arial"/>
          <w:sz w:val="22"/>
          <w:szCs w:val="22"/>
        </w:rPr>
        <w:t xml:space="preserve">◦ Parceiro registra lead → responsável aprova engajamento → parceiro vê oportunidade</w:t>
      </w:r>
    </w:p>
    <w:p>
      <w:pPr>
        <w:spacing w:after="30" w:before="30"/>
        <w:ind w:left="720"/>
      </w:pPr>
      <w:r>
        <w:rPr>
          <w:rFonts w:ascii="Arial" w:cs="Arial" w:eastAsia="Arial" w:hAnsi="Arial"/>
          <w:sz w:val="22"/>
          <w:szCs w:val="22"/>
        </w:rPr>
        <w:t xml:space="preserve">◦ Admin importa CSV de contatos → deduplicação → confirmação → contatos criados</w:t>
      </w:r>
    </w:p>
    <w:p>
      <w:pPr>
        <w:spacing w:after="30" w:before="30"/>
        <w:ind w:left="720"/>
      </w:pPr>
      <w:r>
        <w:rPr>
          <w:rFonts w:ascii="Arial" w:cs="Arial" w:eastAsia="Arial" w:hAnsi="Arial"/>
          <w:sz w:val="22"/>
          <w:szCs w:val="22"/>
        </w:rPr>
        <w:t xml:space="preserve">◦ Usuário de tenant A tenta acessar URL de tenant B → redirecionado sem dados expostos</w:t>
      </w:r>
    </w:p>
    <w:p>
      <w:pPr>
        <w:spacing w:after="30" w:before="30"/>
        <w:ind w:left="720"/>
      </w:pPr>
      <w:r>
        <w:rPr>
          <w:rFonts w:ascii="Arial" w:cs="Arial" w:eastAsia="Arial" w:hAnsi="Arial"/>
          <w:sz w:val="22"/>
          <w:szCs w:val="22"/>
        </w:rPr>
        <w:t xml:space="preserve">◦ Solicitar exportação de dados LGPD → arquivo gerado e enviado por e-mail em &lt; 15 min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Executados: a cada deploy no staging (&lt; 10 minutos)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Visual regression: screenshots de telas principais comparadas a cada deploy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6.4 Testes de Segurança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SAST — Semgrep: análise estática de código no CI a cada PR; regras: injeção SQL, XSS, CSRF, secrets expostos, regex vulnerável a ReDoS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DAST — OWASP ZAP: scan dinâmico automatizado no ambiente staging a cada deploy; alertas de nível Alto ou Crítico bloqueiam o deploy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Dependency scan — Dependabot: verifica vulnerabilidades conhecidas em dependências npm toda semana; PRs automáticos para patches de segurança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Testes de tenant isolation: suite dedicada de 20+ testes que verificam que usuário de tenant A nunca obtém dados de tenant B em nenhum endpoint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Teste de rate limiting: verificar que 6ª tentativa de login é bloqueada; verificar que API retorna 429 após limite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Penetration test manual: recomendado a cada 6 meses ou antes de grandes releases; escopo: OWASP Top 10 + lógica de negócio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6.5 Testes de Performance — k6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Cenário base: 200 usuários simultâneos — p95 de latência &lt; 300ms, zero erros 5xx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Cenário de pico: 1.000 usuários simultâneos — p95 &lt; 800ms, taxa de erro &lt; 0,1%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Testes de carga por módulo: pipeline (listagem de oportunidades), relatórios (query complexa), busca semântica (pgvector)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Executados: antes de cada release de produção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6.6 Massa de Dados Gerada por Claude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Um script de seed realista é gerado e mantido pelo Claude Code com dados em português brasileiro, cobrindo casos extremos e cenários de borda: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5 Empresas Vendedoras (tenants) com configurações distintas de aprovação, IA e alertas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50 Empresas Clientes por tenant: variados setores, cidades, territórios e segmentos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200 Contatos por tenant: nomes, e-mails e telefones fictícios mas com formato válido; datas de aniversário variadas para testar alertas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150 Oportunidades por tenant distribuídas em todos os 7 estágios, com datas de criação retroativas cobrindo 24 meses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Oportunidades com margem abaixo do mínimo para testar bloqueio de aprovação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Propostas em múltiplas versões para testar comparador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Contratos com vencimento em 30, 60 e 90 dias para testar alertas de renovação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Tarefas vencidas para testar escalonamento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Usuários em todos os perfis (Admin, Diretor, Gestor, Analista, Parceiro)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Um tenant completamente vazio para testar estado inicial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seed comando: npx prisma db seed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arquivo: prisma/seed.ts (gerado e mantido pelo Claude Code)</w:t>
      </w:r>
    </w:p>
    <w:p>
      <w:pPr>
        <w:spacing w:after="60" w:before="6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7. Integrações com IAs de Mercado — Segurança e Integridade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7.1 Providers e Casos de Uso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Claude Haiku (Anthropic) — uso primário: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Resumo de comunicações (e-mails, WhatsApp colados pelo usuário)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Extração de próximos passos e tarefas com datas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Vinculação de e-mail recebido a contato/oportunidade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Reranking de resultados de busca semântica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Análise inicial de comparação de versões de documentos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Claude Sonnet (Anthropic) — uso seletivo: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Comparação detalhada entre versões de proposta (gera resumo executivo das diferenças)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Análise de feedback de cliente (reuniões de pós-venda)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Geração de relatório de impacto em solicitações de renovação complexas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Perplexity API — benchmarks de mercado: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Sugestão de % de conversão por segmento e tipo de serviço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Benchmarks de margem por setor para validação de proposta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Fallback 1: Google Gemini API | Fallback 2: OpenAI Web Search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Embeddings para busca semântica: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text-embedding-3-small (OpenAI) — geração de embeddings de comunicações e atividades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Alternativa open-source: nomic-embed-text via Ollama (zero custo, self-hosted)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Armazenados em pgvector no próprio banco — sem dependência de serviço externo de vector DB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7.2 Data Masking Layer — Proteção de PII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Nenhum dado pessoal identificável deve atingir os providers de IA. Uma camada obrigatória de anonimização processa todo texto antes do envio.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Funcionamento: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Passo 1 — Tokenização: o texto é escaneado com regex e NER leve para identificar PII: nomes próprios → [PESSOA_N], e-mails → [EMAIL_N], telefones → [FONE_N], CPF/CNPJ → [DOC_N], valores financeiros → [VALOR_N], endereços → [ENDERECO_N]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Passo 2 — Mapeamento: um dicionário temporário mapeia cada token ao valor original (ex.: { PESSOA_1: "João Silva", EMAIL_1: "joao@empresa.com" })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Passo 3 — Envio mascarado: o texto com tokens é enviado ao provider de IA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Passo 4 — Desmascaramento: a resposta da IA substitui tokens de volta aos valores originais antes de exibir ao usuário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Passo 5 — Descarte: o dicionário de mapeamento é descartado após a request — nunca persistido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Exemplo de entrada original: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"Reunião com João Silva (joao@cliente.com.br) da Empresa ABC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 discutiu proposta de R$ 150.000 para projeto de 6 meses."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/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Texto enviado à IA: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"Reunião com [PESSOA_1] ([EMAIL_1]) da [EMPRESA_1]</w:t>
      </w:r>
    </w:p>
    <w:p>
      <w:pPr>
        <w:spacing w:after="40" w:before="40"/>
        <w:ind w:left="360"/>
      </w:pPr>
      <w:r>
        <w:rPr>
          <w:rFonts w:ascii="Courier New" w:cs="Courier New" w:eastAsia="Courier New" w:hAnsi="Courier New"/>
          <w:color w:val="1F4E79"/>
          <w:sz w:val="20"/>
          <w:szCs w:val="20"/>
        </w:rPr>
        <w:t xml:space="preserve"> discutiu proposta de [VALOR_1] para projeto de [PRAZO_1]."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7.3 Políticas de Retenção por Provider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Anthropic (Claude): dados da API não são usados para treinamento por padrão; opção de retenção zero dias disponível via header — recomendado ativar em produção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OpenAI (embeddings + fallback): dados da API não são usados para treinamento por padrão; retenção padrão de 30 dias (pode ser reduzida a zero com plano Enterprise)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Perplexity API: dados não são usados para treinamento; verificar política de retenção atualizada no onboarding e registrar no RIPD LGPD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Google Gemini API: dados não são usados para treinamento por padrão no plano pago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Requisito: o DPA (Data Processing Agreement) com cada provider de IA deve ser assinado antes do go-live. Anthropic, OpenAI e Google oferecem DPA padrão para clientes de API.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7.4 Circuit Breaker e Fallback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Circuit breaker implementado para cada provider: após 3 falhas consecutivas em 60 segundos, o circuit abre e requisições ao provider são rejeitadas por 5 minutos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Estado aberto: funcionalidade de IA exibe mensagem "IA temporariamente indisponível — continue manualmente" sem quebrar o fluxo principal da aplicação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Hierarquia de fallback para resumo: Claude Haiku → Claude Sonnet → modo manual (usuário preenche resumo sem IA)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Hierarquia de fallback para benchmark: Perplexity → Gemini → OpenAI → último resultado em cache (máximo 7 dias)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Todas as chamadas de IA têm timeout de 30 segundos — operação não bloqueia o usuário além desse limite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7.5 Controle de Custos e Rate Limits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Limite mensal de tokens por tenant configurável pelo Super Admin (padrão: 1M tokens/mês)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Alerta ao Admin do tenant em 80% e 100% do limite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Bloqueio suave em 100%: IA desabilitada até virada do mês ou upgrade de plano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Rate limit por usuário: máximo 60 chamadas de IA por hora para evitar abuso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Custo exibido em tempo real no medidor de consumo (Seção 10.3) baseado na tabela de preços atualizada trimestralmente</w:t>
      </w:r>
    </w:p>
    <w:p>
      <w:pPr>
        <w:spacing w:after="60" w:before="6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8. Verificações de Segurança por Sprint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Segurança não é um sprint único — é uma camada presente em todos os sprints. Este checklist é executado antes de marcar qualquer sprint como concluído.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8.1 Checklist por Sprint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Sprint 0 (Foundation):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Variáveis de ambiente: zero hardcode verificado por Semgrep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gitignore: .env, .env.local e arquivos de chave excluídos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Dependências: Dependabot configurado; zero vulnerabilidades críticas no package-lock.json inicial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Sprint 1 (Auth):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2FA TOTP funcional testado com app real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Bloqueio de conta após 5 tentativas verificado com teste automatizado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Clerk webhooks validados por assinatura (svix) — rejeitar requisições sem assinatura válida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Tokens de sessão não expostos em logs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Sprint 2+ (Features):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Toda nova tabela tem RLS policy configurada antes de ser usada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Todo novo endpoint tRPC/REST tem middleware de auth + tenant + RBAC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Inputs de arquivo: MIME validation + size limit implementados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Nenhuma query sem WHERE tenant_id — revisão obrigatória em PR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Sprint 11 (Security Sprint):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OWASP ZAP scan completo — zero vulnerabilidades Críticas ou Altas antes de fechar sprint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Penetration test interno nas 5 principais superfícies de ataque: login, upload, API pública, busca, importação de CSV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Headers verificados com securityheaders.com — score mínimo A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Cookie banner testado em iOS Safari e Chrome Android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Antes de cada release de produção: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Semgrep SAST sem alertas novos de nível Alto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Dependabot: zero vulnerabilidades Críticas ou Altas em dependências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Secrets scan (git-secrets ou Gitleaks) no histórico completo do repositório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Revisão de permissões de IAM/roles: princípio de mínimo privilégio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Teste de backup e restauração executado e documentado</w:t>
      </w:r>
    </w:p>
    <w:p>
      <w:pPr>
        <w:spacing w:after="60" w:before="6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9. Portabilidade para Nuvens Públicas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A arquitetura é cloud-agnostic por design: Docker como unidade de implantação, Terraform como IaC (Infrastructure as Code), e dependências de serviços abstraídas por variáveis de ambiente.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9.1 Mapeamento de Serviços por Cloud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Aplicação Next.js (container):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AWS: ECS Fargate (serverless containers) ou App Runner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GCP: Cloud Run (serverless containers)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OCI: Container Instances ou OKE (Kubernetes gerenciado)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Vercel: opção simplificada early stage (sem gerenciar infra)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Banco de Dados PostgreSQL: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AWS: RDS PostgreSQL Multi-AZ (alta disponibilidade) + Read Replicas para relatórios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GCP: Cloud SQL PostgreSQL com HA e backups automáticos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OCI: MySQL HeatWave (alternativa) ou PostgreSQL gerenciado via parceiros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Evolução do Neon: connection string é a única mudança necessária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Object Storage (documentos, templates):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AWS: S3 + CloudFront CDN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GCP: Cloud Storage + Cloud CDN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OCI: Object Storage + CDN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Alternativa cross-cloud: Cloudflare R2 (zero egress cost, qualquer cloud)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Cache e Filas (Redis + BullMQ):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AWS: ElastiCache Redis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GCP: Memorystore Redis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OCI: Cache com Redis (OCI Cache)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Self-hosted: Redis em container (válido para early stage em qualquer cloud)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WAF e CDN: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Cloudflare: cloud-agnostic, recomendado independentemente da cloud de backend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AWS: WAFv2 + CloudFront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GCP: Cloud Armor + Cloud CDN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9.2 Terraform como IaC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Módulos Terraform para cada cloud: aws/, gcp/, oci/ com os mesmos recursos mapeados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Variáveis de ambiente separadas por cloud: terraform.tfvars por ambiente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State remoto: Terraform Cloud ou S3/GCS para manter estado compartilhado entre devs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Não escrever Terraform no Sprint 0 — usar Vercel + Neon para MVP; Terraform a partir do Sprint 12 para preparação de marketplace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9.3 Checklist de Portabilidade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Zero referências a ARN AWS, project ID GCP ou OCID OCI no código da aplicação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Storage acessado via SDK genérico ou variável de endpoint (ex.: S3_ENDPOINT configurável)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Banco acessado via DATABASE_URL — Prisma suporta qualquer PostgreSQL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Secrets injetados via variáveis de ambiente — não via serviço específico de cloud no código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Docker image publicada no GitHub Container Registry (GHCR) — cloud-neutral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Helm chart testado em kind (Kubernetes local) antes de publicar para cloud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9.4 Distribuição em Cloud Marketplaces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AWS Marketplace: publicar como Container Product (imagem Docker + Helm chart); exige conta AWS Partner e ListingID; precificação por hora ou por assinatura mensal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GCP Marketplace: publicar como Container Solution; requer aprovação do Google Cloud Partner Advantage; suporte a precificação por uso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OCI Marketplace: publicar como Stack ou Container App; processo de revisão de segurança obrigatório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Requisito comum a todos: SOC 2 Type II ou equivalente (ou declaração de conformidade) + documentação de segurança + suporte definido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9.5 Recomendação de Evolução de Infraestrutura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Fase 1 — MVP (meses 0-6):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Vercel (app) + Neon Free (banco) + Cloudflare Free (WAF/CDN) + Redis cloud free tier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Custo estimado: US$ 0-50/mês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Fase 2 — Crescimento (meses 6-18, primeiros clientes pagantes):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Vercel Pro ou Railway + Neon Launch/Scale + Cloudflare Pro + Upstash Redis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Custo estimado: US$ 100-300/mês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Fase 3 — Scale (18+ meses, clientes enterprise):</w:t>
      </w: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AWS ECS Fargate + RDS PostgreSQL Multi-AZ + ElastiCache + CloudFront + WAFv2</w:t>
      </w:r>
    </w:p>
    <w:p>
      <w:pPr>
        <w:spacing w:after="40" w:before="40"/>
        <w:ind w:left="360"/>
      </w:pPr>
      <w:r>
        <w:rPr>
          <w:rFonts w:ascii="Arial" w:cs="Arial" w:eastAsia="Arial" w:hAnsi="Arial"/>
          <w:sz w:val="22"/>
          <w:szCs w:val="22"/>
        </w:rPr>
        <w:t xml:space="preserve">• Custo estimado: US$ 500-2.000/mês (escala com receita)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2026-06-27T21:48:38.063Z</dcterms:created>
  <dcterms:modified xsi:type="dcterms:W3CDTF">2026-06-27T21:48:38.063Z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