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Montserrat" w:hAnsi="Montserrat"/>
          <w:b/>
          <w:color w:val="121212"/>
          <w:sz w:val="36"/>
        </w:rPr>
        <w:t>Reflexión técnica</w:t>
      </w:r>
    </w:p>
    <w:p>
      <w:r>
        <w:rPr>
          <w:i/>
          <w:color w:val="808080"/>
          <w:sz w:val="19"/>
        </w:rPr>
        <w:t>Trabajo presentado por Victor Marquez para la asignatura Programación Web.</w:t>
      </w:r>
    </w:p>
    <w:p/>
    <w:p>
      <w:pPr>
        <w:spacing w:after="200" w:line="336" w:lineRule="auto"/>
        <w:jc w:val="both"/>
      </w:pPr>
      <w:r>
        <w:t>La diferencia estructural entre la vista de escritorio y la vista móvil no es solo una cuestión de tamaño sino de organización. En escritorio el contenido se distribuye en varias columnas y aprovecha el ancho disponible mientras que en móvil todo se reorganiza en una sola columna que se recorre de arriba hacia abajo. El menú deja de ser una barra horizontal y se convierte en un ícono que despliega las opciones en vertical, y las imágenes se ajustan al ancho del dispositivo. El diseño que piensa primero en el móvil resulta relevante en el comercio digital porque la mayoría del tráfico proviene de teléfonos y una tienda que no se adapta pierde ventas y confianza. Empezar por la pantalla pequeña obliga a priorizar lo esencial y a construir una base sólida que luego crece hacia pantallas mayores. Entre los errores técnicos que más afectan la experiencia están las imágenes que se desbordan, los textos demasiado pequeños, los botones difíciles de pulsar y la ausencia de la etiqueta de viewport que impide que el diseño responda al dispositivo. Evitar estos fallos garantiza una navegación cómoda y una marca creíble.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