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jc w:val="both"/>
        <w:rPr/>
      </w:pPr>
      <w:r w:rsidDel="00000000" w:rsidR="00000000" w:rsidRPr="00000000">
        <w:rPr>
          <w:rtl w:val="0"/>
        </w:rPr>
        <w:t xml:space="preserve">El objetivo de la prueba es realizar un servicio web tipo REST siguiendo las prácticas recomendadas en Laravel. Este servicio expondrá los recursos presentes en la aplicación “Joyitas de Nuestras Andalucía” (ya sean monumentos o cantantes), y permitirá realizar las operaciones CRUD con autenticación. </w:t>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El punto de partida sobre el que empezar el desarrollo será el de la actividad del tema anterior. </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Comienza viendo el video: </w:t>
      </w:r>
      <w:hyperlink r:id="rId6">
        <w:r w:rsidDel="00000000" w:rsidR="00000000" w:rsidRPr="00000000">
          <w:rPr>
            <w:color w:val="1155cc"/>
            <w:u w:val="single"/>
            <w:rtl w:val="0"/>
          </w:rPr>
          <w:t xml:space="preserve">https://www.youtube.com/watch?v=DvzLf1SMASo</w:t>
        </w:r>
      </w:hyperlink>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i w:val="1"/>
          <w:rtl w:val="0"/>
        </w:rPr>
        <w:t xml:space="preserve">Nota:</w:t>
      </w:r>
      <w:r w:rsidDel="00000000" w:rsidR="00000000" w:rsidRPr="00000000">
        <w:rPr>
          <w:rtl w:val="0"/>
        </w:rPr>
        <w:t xml:space="preserve"> Puedes probar tu servicio web con la extensión de VSC Thunder Client.</w:t>
      </w: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Las especificaciones de la aplicación son las siguientes: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Elige un recurso a exponer a través de la API (por ejemplo, monumentos)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En primer lugar, realiza la operación de lectura sobre el listado de recursos. </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En segundo lugar, protege dicha ruta para que sólo los clientes autenticados (esto es, con una cuenta en la aplicación), puedan acceder a dicho recurso.</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Como ampliación, desarrolla la funcionalidad de creación de un recurso, de modificación, y de borrado. Idealmente dichas funcionalidades deberían estar protegidas para que sólo los clientes autorizados puedan acceder.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pacing w:after="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Criterios de evaluación: En esta prueba se evalúan todos los criterios asociados a los siguientes resultados de aprendizaje:</w:t>
      </w:r>
    </w:p>
    <w:p w:rsidR="00000000" w:rsidDel="00000000" w:rsidP="00000000" w:rsidRDefault="00000000" w:rsidRPr="00000000" w14:paraId="00000012">
      <w:pPr>
        <w:numPr>
          <w:ilvl w:val="0"/>
          <w:numId w:val="2"/>
        </w:numPr>
        <w:spacing w:after="156" w:line="240" w:lineRule="auto"/>
        <w:ind w:left="720" w:hanging="360"/>
        <w:rPr>
          <w:sz w:val="20"/>
          <w:szCs w:val="20"/>
        </w:rPr>
      </w:pPr>
      <w:r w:rsidDel="00000000" w:rsidR="00000000" w:rsidRPr="00000000">
        <w:rPr>
          <w:rFonts w:ascii="Calibri" w:cs="Calibri" w:eastAsia="Calibri" w:hAnsi="Calibri"/>
          <w:sz w:val="20"/>
          <w:szCs w:val="20"/>
          <w:rtl w:val="0"/>
        </w:rPr>
        <w:t xml:space="preserve">RA7: Desarrolla servicios Web analizando su funcionamiento e implantando la estructura de sus componentes.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b w:val="1"/>
      </w:rPr>
    </w:pPr>
    <w:r w:rsidDel="00000000" w:rsidR="00000000" w:rsidRPr="00000000">
      <w:rPr>
        <w:b w:val="1"/>
        <w:rtl w:val="0"/>
      </w:rPr>
      <w:t xml:space="preserve">ACTIVIDAD RA7</w:t>
    </w:r>
    <w:r w:rsidDel="00000000" w:rsidR="00000000" w:rsidRPr="00000000">
      <w:drawing>
        <wp:anchor allowOverlap="1" behindDoc="1" distB="114300" distT="114300" distL="114300" distR="114300" hidden="0" layoutInCell="1" locked="0" relativeHeight="0" simplePos="0">
          <wp:simplePos x="0" y="0"/>
          <wp:positionH relativeFrom="column">
            <wp:posOffset>-466724</wp:posOffset>
          </wp:positionH>
          <wp:positionV relativeFrom="paragraph">
            <wp:posOffset>-342899</wp:posOffset>
          </wp:positionV>
          <wp:extent cx="1183478" cy="107588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3478" cy="1075889"/>
                  </a:xfrm>
                  <a:prstGeom prst="rect"/>
                  <a:ln/>
                </pic:spPr>
              </pic:pic>
            </a:graphicData>
          </a:graphic>
        </wp:anchor>
      </w:drawing>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DvzLf1SMASo"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