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修改清单与质量核查</w:t>
      </w:r>
    </w:p>
    <w:p>
      <w:pPr>
        <w:pStyle w:val="Heading2"/>
      </w:pPr>
      <w:r>
        <w:t>图1、图2胆汁酸图标</w:t>
      </w:r>
    </w:p>
    <w:p>
      <w:r>
        <w:t>四处图标已在原始PPT中替换为三六元环加一五元环的并环甾体母核示意，保持橙色配色及原图标范围。按gonane母核的17碳四环连接关系构图；以SMILES C1CCC2C(C1)CCC1C3CCCC3CCC21 经RDKit解析，确认环大小为5、6、6、6。此图标表示通用母核，不指定某一种胆汁酸的羟基、侧链或立体构型。</w:t>
      </w:r>
    </w:p>
    <w:p>
      <w:pPr>
        <w:pStyle w:val="Heading2"/>
      </w:pPr>
      <w:r>
        <w:t>图1肽聚糖路径</w:t>
      </w:r>
    </w:p>
    <w:p>
      <w:r>
        <w:t>保留跨上皮主动摄取及进入固有层的紫色箭头；删除靠近淋巴毛细管的两个末端颗粒，以及体循环中对应的两个紫色颗粒。图注明确紫色路径表示主动跨上皮转运进入固有层；保留Wheeler研究的肠外分布发现和[24]动态引用。</w:t>
      </w:r>
    </w:p>
    <w:p>
      <w:pPr>
        <w:pStyle w:val="Heading2"/>
      </w:pPr>
      <w:r>
        <w:t>图3标注</w:t>
      </w:r>
    </w:p>
    <w:p>
      <w:r>
        <w:t>Stage dependent改为Stage-dependent；左下模型标注改为MCT-induced PH in rats，并保留[75]。</w:t>
      </w:r>
    </w:p>
    <w:p>
      <w:pPr>
        <w:pStyle w:val="Heading2"/>
      </w:pPr>
      <w:r>
        <w:t>第4.3节</w:t>
      </w:r>
    </w:p>
    <w:p>
      <w:r>
        <w:t>将肠道内初级胆汁酸转化句替换为确认的去结合—7α-脱羟基化表述。原[41]动态引文保留。未添加修改加粗。</w:t>
      </w:r>
    </w:p>
    <w:p>
      <w:pPr>
        <w:pStyle w:val="Heading2"/>
      </w:pPr>
      <w:r>
        <w:t>表格</w:t>
      </w:r>
    </w:p>
    <w:p>
      <w:r>
        <w:t>表1、表2及续表、表3均为Word原生可编辑表格；表内字体为模板Palatino Linotype、10 pt，表头加粗，表题、图注及表下注释9 pt；长内容左对齐、表头居中；统一三线表，去除内部横竖分隔线。</w:t>
      </w:r>
    </w:p>
    <w:p>
      <w:pPr>
        <w:pStyle w:val="Heading2"/>
      </w:pPr>
      <w:r>
        <w:t>分页</w:t>
      </w:r>
    </w:p>
    <w:p>
      <w:r>
        <w:t>表1与缩略语说明同页；表2及续表保留完整列标题；表3自然跨第21—22页，两页均有完整六列表头。所有数据行保持整行分页，未通过缩小字号或删减内容压缩。三图及其图注保持关联，图1完整图注未拆至下页。</w:t>
      </w:r>
    </w:p>
    <w:p>
      <w:pPr>
        <w:pStyle w:val="Heading2"/>
      </w:pPr>
      <w:r>
        <w:t>字段与内容</w:t>
      </w:r>
    </w:p>
    <w:p>
      <w:r>
        <w:t>比较最新上传主稿，只有第4.3节对应段落及图1图注的文字发生变化；其余正文、表格文字、参考文献文字均保留。全部313个字段代码文本片段逐项一致，8个书签及全部交叉引用保留，三图Word显示尺寸保持不变。</w:t>
      </w:r>
    </w:p>
    <w:p>
      <w:pPr>
        <w:pStyle w:val="Heading2"/>
      </w:pPr>
      <w:r>
        <w:t>逐页核查</w:t>
      </w:r>
    </w:p>
    <w:p>
      <w:r>
        <w:t>全文已渲染为29页并检查页面布局及图表重点页；未发现页外文字、截字、重叠；表3续页表头完整。Word保留模板字体，当前渲染环境使用对应可用替代字体显示，其他电脑的分页可能受本机字体与Word/WPS排版引擎影响。</w:t>
      </w:r>
    </w:p>
    <w:p>
      <w:pPr>
        <w:pStyle w:val="Heading1"/>
      </w:pPr>
      <w:r>
        <w:t>图片像素及有效分辨率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图片</w:t>
            </w:r>
          </w:p>
        </w:tc>
        <w:tc>
          <w:tcPr>
            <w:tcW w:type="dxa" w:w="1728"/>
          </w:tcPr>
          <w:p>
            <w:r>
              <w:t>像素尺寸</w:t>
            </w:r>
          </w:p>
        </w:tc>
        <w:tc>
          <w:tcPr>
            <w:tcW w:type="dxa" w:w="1728"/>
          </w:tcPr>
          <w:p>
            <w:r>
              <w:t>TIFF dpi</w:t>
            </w:r>
          </w:p>
        </w:tc>
        <w:tc>
          <w:tcPr>
            <w:tcW w:type="dxa" w:w="1728"/>
          </w:tcPr>
          <w:p>
            <w:r>
              <w:t>Word尺寸/mm</w:t>
            </w:r>
          </w:p>
        </w:tc>
        <w:tc>
          <w:tcPr>
            <w:tcW w:type="dxa" w:w="1728"/>
          </w:tcPr>
          <w:p>
            <w:r>
              <w:t>有效ppi（横×纵）</w:t>
            </w:r>
          </w:p>
        </w:tc>
      </w:tr>
      <w:tr>
        <w:tc>
          <w:tcPr>
            <w:tcW w:type="dxa" w:w="1728"/>
          </w:tcPr>
          <w:p>
            <w:r>
              <w:t>图1</w:t>
            </w:r>
          </w:p>
        </w:tc>
        <w:tc>
          <w:tcPr>
            <w:tcW w:type="dxa" w:w="1728"/>
          </w:tcPr>
          <w:p>
            <w:r>
              <w:t>3923 × 2207</w:t>
            </w:r>
          </w:p>
        </w:tc>
        <w:tc>
          <w:tcPr>
            <w:tcW w:type="dxa" w:w="1728"/>
          </w:tcPr>
          <w:p>
            <w:r>
              <w:t>600 × 600</w:t>
            </w:r>
          </w:p>
        </w:tc>
        <w:tc>
          <w:tcPr>
            <w:tcW w:type="dxa" w:w="1728"/>
          </w:tcPr>
          <w:p>
            <w:r>
              <w:t>166.05 × 93.40</w:t>
            </w:r>
          </w:p>
        </w:tc>
        <w:tc>
          <w:tcPr>
            <w:tcW w:type="dxa" w:w="1728"/>
          </w:tcPr>
          <w:p>
            <w:r>
              <w:t>600.076 × 600.204</w:t>
            </w:r>
          </w:p>
        </w:tc>
      </w:tr>
      <w:tr>
        <w:tc>
          <w:tcPr>
            <w:tcW w:type="dxa" w:w="1728"/>
          </w:tcPr>
          <w:p>
            <w:r>
              <w:t>图2</w:t>
            </w:r>
          </w:p>
        </w:tc>
        <w:tc>
          <w:tcPr>
            <w:tcW w:type="dxa" w:w="1728"/>
          </w:tcPr>
          <w:p>
            <w:r>
              <w:t>3923 × 2207</w:t>
            </w:r>
          </w:p>
        </w:tc>
        <w:tc>
          <w:tcPr>
            <w:tcW w:type="dxa" w:w="1728"/>
          </w:tcPr>
          <w:p>
            <w:r>
              <w:t>600 × 600</w:t>
            </w:r>
          </w:p>
        </w:tc>
        <w:tc>
          <w:tcPr>
            <w:tcW w:type="dxa" w:w="1728"/>
          </w:tcPr>
          <w:p>
            <w:r>
              <w:t>166.05 × 93.40</w:t>
            </w:r>
          </w:p>
        </w:tc>
        <w:tc>
          <w:tcPr>
            <w:tcW w:type="dxa" w:w="1728"/>
          </w:tcPr>
          <w:p>
            <w:r>
              <w:t>600.076 × 600.204</w:t>
            </w:r>
          </w:p>
        </w:tc>
      </w:tr>
      <w:tr>
        <w:tc>
          <w:tcPr>
            <w:tcW w:type="dxa" w:w="1728"/>
          </w:tcPr>
          <w:p>
            <w:r>
              <w:t>图3</w:t>
            </w:r>
          </w:p>
        </w:tc>
        <w:tc>
          <w:tcPr>
            <w:tcW w:type="dxa" w:w="1728"/>
          </w:tcPr>
          <w:p>
            <w:r>
              <w:t>4086 × 2655</w:t>
            </w:r>
          </w:p>
        </w:tc>
        <w:tc>
          <w:tcPr>
            <w:tcW w:type="dxa" w:w="1728"/>
          </w:tcPr>
          <w:p>
            <w:r>
              <w:t>600 × 600</w:t>
            </w:r>
          </w:p>
        </w:tc>
        <w:tc>
          <w:tcPr>
            <w:tcW w:type="dxa" w:w="1728"/>
          </w:tcPr>
          <w:p>
            <w:r>
              <w:t>172.95 × 112.39</w:t>
            </w:r>
          </w:p>
        </w:tc>
        <w:tc>
          <w:tcPr>
            <w:tcW w:type="dxa" w:w="1728"/>
          </w:tcPr>
          <w:p>
            <w:r>
              <w:t>600.086 × 600.000</w:t>
            </w:r>
          </w:p>
        </w:tc>
      </w:tr>
    </w:tbl>
    <w:p>
      <w:r>
        <w:t>全部TIFF从修改后的矢量PPT渲染生成，按最终Word显示尺寸向上取整计算像素；不是放大旧位图或只修改dpi标签。Word中嵌入的三张TIFF与单独交付文件逐字节一致。</w:t>
      </w:r>
    </w:p>
    <w:p>
      <w:pPr>
        <w:pStyle w:val="Heading1"/>
      </w:pPr>
      <w:r>
        <w:t>交付文件</w:t>
      </w:r>
    </w:p>
    <w:p>
      <w:r>
        <w:t>Manuscript_revised.docx</w:t>
      </w:r>
    </w:p>
    <w:p>
      <w:r>
        <w:t>Figure1.pptx</w:t>
      </w:r>
    </w:p>
    <w:p>
      <w:r>
        <w:t>Figure2.pptx</w:t>
      </w:r>
    </w:p>
    <w:p>
      <w:r>
        <w:t>Figure3.pptx</w:t>
      </w:r>
    </w:p>
    <w:p>
      <w:r>
        <w:t>Figure1_600dpi.tiff</w:t>
      </w:r>
    </w:p>
    <w:p>
      <w:r>
        <w:t>Figure2_600dpi.tiff</w:t>
      </w:r>
    </w:p>
    <w:p>
      <w:r>
        <w:t>Figure3_600dpi.tiff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