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B120" w14:textId="06FD1813" w:rsidR="00BA0CF6" w:rsidRPr="00BA0CF6" w:rsidRDefault="00BA0CF6" w:rsidP="00BA0CF6">
      <w:pPr>
        <w:rPr>
          <w:b/>
          <w:bCs/>
        </w:rPr>
      </w:pPr>
      <w:r w:rsidRPr="00BA0CF6">
        <w:rPr>
          <w:b/>
          <w:bCs/>
        </w:rPr>
        <w:t>I. Introduction</w:t>
      </w:r>
    </w:p>
    <w:p w14:paraId="480952D9" w14:textId="06DC39E5" w:rsidR="001848CF" w:rsidRDefault="00FB0170" w:rsidP="00FB0170">
      <w:r w:rsidRPr="00FB0170">
        <w:t xml:space="preserve">The Black-Scholes model tells us what an option should be worth given its strike price, the risk-free interest rate, the remaining time until expiration, the stock's price, and the implied volatility. </w:t>
      </w:r>
      <w:r w:rsidR="001848CF">
        <w:t>However, w</w:t>
      </w:r>
      <w:r w:rsidR="001848CF" w:rsidRPr="00FB0170">
        <w:t xml:space="preserve">hen calculating the </w:t>
      </w:r>
      <w:r w:rsidR="001848CF">
        <w:t>price of an</w:t>
      </w:r>
      <w:r w:rsidR="001848CF" w:rsidRPr="00FB0170">
        <w:t xml:space="preserve"> option, we run into an issue </w:t>
      </w:r>
      <w:r w:rsidR="001848CF">
        <w:t>when investigating implied</w:t>
      </w:r>
      <w:r w:rsidR="001848CF" w:rsidRPr="00FB0170">
        <w:t xml:space="preserve"> volatility. </w:t>
      </w:r>
      <w:r>
        <w:t xml:space="preserve">All the variables in the Black-Scholes equation are typically known, and we can calculate the call or put price </w:t>
      </w:r>
      <w:r w:rsidR="001848CF">
        <w:t xml:space="preserve">by plugging </w:t>
      </w:r>
      <w:r>
        <w:t>directly</w:t>
      </w:r>
      <w:r w:rsidR="001848CF">
        <w:t xml:space="preserve"> into the formula; however,</w:t>
      </w:r>
      <w:r>
        <w:t xml:space="preserve"> we are incapable of isolating</w:t>
      </w:r>
      <w:r w:rsidR="001848CF">
        <w:t xml:space="preserve"> the </w:t>
      </w:r>
      <w:r>
        <w:t>σ</w:t>
      </w:r>
      <w:r w:rsidR="001848CF">
        <w:t xml:space="preserve"> in this formula</w:t>
      </w:r>
      <w:r>
        <w:t xml:space="preserve"> algebraically</w:t>
      </w:r>
      <w:r w:rsidR="001848CF">
        <w:t>. Instead, it must be solved numerically.</w:t>
      </w:r>
    </w:p>
    <w:p w14:paraId="239D4BEC" w14:textId="53094ACB" w:rsidR="00FB0170" w:rsidRDefault="001848CF" w:rsidP="00FB017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In this project, the root finding algorithm known as the</w:t>
      </w:r>
      <w:r w:rsidR="00FB0170">
        <w:t xml:space="preserve"> </w:t>
      </w:r>
      <w:r w:rsidR="00FB0170" w:rsidRPr="00FB0170">
        <w:t>Newton</w:t>
      </w:r>
      <w:r w:rsidR="00FB0170">
        <w:t>-Raphson</w:t>
      </w:r>
      <w:r w:rsidR="00FB0170" w:rsidRPr="00FB0170">
        <w:t xml:space="preserve"> Method </w:t>
      </w:r>
      <w:r>
        <w:t>(</w:t>
      </w:r>
      <w:r w:rsidR="00FB0170" w:rsidRPr="00FB0170">
        <w:t>a recursive algorithm for approximating the root of a differentiable function</w:t>
      </w:r>
      <w:r>
        <w:t xml:space="preserve">) was used </w:t>
      </w:r>
      <w:r w:rsidR="00FB0170">
        <w:t xml:space="preserve">to calculate implied volatility. </w:t>
      </w:r>
      <w:r w:rsidR="00FB01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Newton's method works well when the function and its derivative are well-behaved. In our case, the function only has one root, so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there </w:t>
      </w:r>
      <w:r w:rsidR="00BA0CF6">
        <w:rPr>
          <w:rFonts w:ascii="Arial" w:hAnsi="Arial" w:cs="Arial"/>
          <w:color w:val="222222"/>
          <w:sz w:val="20"/>
          <w:szCs w:val="20"/>
          <w:shd w:val="clear" w:color="auto" w:fill="FFFFFF"/>
        </w:rPr>
        <w:t>was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 need</w:t>
      </w:r>
      <w:r w:rsidR="00FB017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to worry about the possibility of having several mathematically allowable answers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AD656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the purposes of this project, ATM option data taken from the Bloomberg Terminal was used for calculations.</w:t>
      </w:r>
    </w:p>
    <w:p w14:paraId="7F7FFD51" w14:textId="37A55088" w:rsidR="00BA0CF6" w:rsidRDefault="00BA0CF6" w:rsidP="00FB017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II.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Put-call parity results</w:t>
      </w:r>
    </w:p>
    <w:p w14:paraId="5C0F3D4F" w14:textId="07A37266" w:rsidR="00BA0CF6" w:rsidRDefault="00BA0CF6" w:rsidP="00FB0170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 = 250, T = 6 months, K = 260, r = 4%, </w:t>
      </w:r>
      <w:r>
        <w:t xml:space="preserve">σ = 20%, </w:t>
      </w:r>
      <w:r>
        <w:rPr>
          <w:rFonts w:cstheme="minorHAnsi"/>
        </w:rPr>
        <w:t>δ</w:t>
      </w:r>
      <w:r>
        <w:t xml:space="preserve"> = 2%</w:t>
      </w:r>
    </w:p>
    <w:p w14:paraId="246872F8" w14:textId="49E89EC8" w:rsidR="00BA0CF6" w:rsidRDefault="00BA0CF6" w:rsidP="00BA0CF6">
      <w:pPr>
        <w:pStyle w:val="NoSpacing"/>
      </w:pPr>
      <w:r>
        <w:t>Call = 14.648651406403559</w:t>
      </w:r>
    </w:p>
    <w:p w14:paraId="7C2043E2" w14:textId="17A0D762" w:rsidR="00BA0CF6" w:rsidRDefault="00BA0CF6" w:rsidP="00BA0CF6">
      <w:pPr>
        <w:pStyle w:val="NoSpacing"/>
      </w:pPr>
      <w:r>
        <w:t>Put = 14.648651406403559</w:t>
      </w:r>
    </w:p>
    <w:p w14:paraId="107393CF" w14:textId="3CFA316F" w:rsidR="00BA0CF6" w:rsidRDefault="00BA0CF6" w:rsidP="00BA0CF6">
      <w:pPr>
        <w:pStyle w:val="NoSpacing"/>
      </w:pPr>
    </w:p>
    <w:p w14:paraId="654742DE" w14:textId="67282F9A" w:rsidR="00BA0CF6" w:rsidRDefault="00BA0CF6" w:rsidP="00BA0CF6">
      <w:pPr>
        <w:pStyle w:val="NoSpacing"/>
      </w:pPr>
      <w:r>
        <w:t>When inputting the given information into the Black-Scholes formula, put-call parity was shown to hold. This calculation was executed using Python.</w:t>
      </w:r>
    </w:p>
    <w:p w14:paraId="0BB7050F" w14:textId="0749C953" w:rsidR="00BA0CF6" w:rsidRDefault="00BA0CF6" w:rsidP="00BA0CF6">
      <w:pPr>
        <w:pStyle w:val="NoSpacing"/>
      </w:pPr>
    </w:p>
    <w:p w14:paraId="34BD2376" w14:textId="114965D1" w:rsidR="00BA0CF6" w:rsidRDefault="00BA0CF6" w:rsidP="00BA0CF6">
      <w:pPr>
        <w:pStyle w:val="NoSpacing"/>
        <w:rPr>
          <w:rFonts w:cstheme="minorHAnsi"/>
          <w:b/>
          <w:bCs/>
        </w:rPr>
      </w:pPr>
      <w:r>
        <w:rPr>
          <w:b/>
          <w:bCs/>
        </w:rPr>
        <w:t>III.</w:t>
      </w:r>
      <w:r>
        <w:t xml:space="preserve"> </w:t>
      </w:r>
      <w:r w:rsidR="005D2783">
        <w:rPr>
          <w:b/>
          <w:bCs/>
        </w:rPr>
        <w:t>Put/</w:t>
      </w:r>
      <w:r>
        <w:rPr>
          <w:b/>
          <w:bCs/>
        </w:rPr>
        <w:t xml:space="preserve">Call: Limit as </w:t>
      </w:r>
      <w:r w:rsidRPr="00BA0CF6">
        <w:rPr>
          <w:b/>
          <w:bCs/>
        </w:rPr>
        <w:t>σ</w:t>
      </w:r>
      <w:r>
        <w:rPr>
          <w:b/>
          <w:bCs/>
        </w:rPr>
        <w:t xml:space="preserve"> </w:t>
      </w:r>
      <w:r>
        <w:rPr>
          <w:rFonts w:cstheme="minorHAnsi"/>
          <w:b/>
          <w:bCs/>
        </w:rPr>
        <w:t>→ꚙ</w:t>
      </w:r>
      <w:r w:rsidR="005D2783">
        <w:rPr>
          <w:b/>
          <w:bCs/>
        </w:rPr>
        <w:t>; Limit as</w:t>
      </w:r>
      <w:r>
        <w:rPr>
          <w:b/>
          <w:bCs/>
        </w:rPr>
        <w:t xml:space="preserve"> </w:t>
      </w:r>
      <w:r w:rsidRPr="00BA0CF6">
        <w:rPr>
          <w:b/>
          <w:bCs/>
        </w:rPr>
        <w:t>σ</w:t>
      </w:r>
      <w:r>
        <w:rPr>
          <w:b/>
          <w:bCs/>
        </w:rPr>
        <w:t xml:space="preserve"> </w:t>
      </w:r>
      <w:r>
        <w:rPr>
          <w:rFonts w:cstheme="minorHAnsi"/>
          <w:b/>
          <w:bCs/>
        </w:rPr>
        <w:t>→0</w:t>
      </w:r>
    </w:p>
    <w:p w14:paraId="5B081BC2" w14:textId="63D39061" w:rsidR="005D2783" w:rsidRDefault="005D2783" w:rsidP="00BA0CF6">
      <w:pPr>
        <w:pStyle w:val="NoSpacing"/>
        <w:rPr>
          <w:rFonts w:cstheme="minorHAnsi"/>
          <w:b/>
          <w:bCs/>
        </w:rPr>
      </w:pPr>
    </w:p>
    <w:p w14:paraId="32E9E147" w14:textId="3C3A97FE" w:rsidR="00E974A3" w:rsidRDefault="00E974A3" w:rsidP="00BA0CF6">
      <w:pPr>
        <w:pStyle w:val="NoSpacing"/>
      </w:pPr>
      <w:r>
        <w:t>Neither a</w:t>
      </w:r>
      <w:r w:rsidR="000C05F0" w:rsidRPr="000C05F0">
        <w:t xml:space="preserve"> call</w:t>
      </w:r>
      <w:r>
        <w:t xml:space="preserve"> or put</w:t>
      </w:r>
      <w:r w:rsidR="000C05F0" w:rsidRPr="000C05F0">
        <w:t xml:space="preserve"> option will </w:t>
      </w:r>
      <w:r>
        <w:t>ever</w:t>
      </w:r>
      <w:r w:rsidR="000C05F0" w:rsidRPr="000C05F0">
        <w:t xml:space="preserve"> be more expensive than the</w:t>
      </w:r>
      <w:r>
        <w:t xml:space="preserve"> underlying</w:t>
      </w:r>
      <w:r w:rsidR="000C05F0" w:rsidRPr="000C05F0">
        <w:t xml:space="preserve"> stock. As the implied volatility goes to infinity, the price of the option approach</w:t>
      </w:r>
      <w:r w:rsidR="006438C0">
        <w:t>es</w:t>
      </w:r>
      <w:r w:rsidR="000C05F0" w:rsidRPr="000C05F0">
        <w:t xml:space="preserve"> to the stock</w:t>
      </w:r>
      <w:r w:rsidR="006438C0">
        <w:t xml:space="preserve"> value</w:t>
      </w:r>
      <w:r w:rsidR="000C05F0" w:rsidRPr="000C05F0">
        <w:t>. Since, the value of the option can't go over the stock, it</w:t>
      </w:r>
      <w:r>
        <w:t xml:space="preserve"> will</w:t>
      </w:r>
      <w:r w:rsidR="000C05F0" w:rsidRPr="000C05F0">
        <w:t xml:space="preserve"> act like the underlying stock.</w:t>
      </w:r>
      <w:r>
        <w:t xml:space="preserve"> If the implied volatility goes to zero, the stock becomes a risk-free asset and needs to return at the risk-free rate.</w:t>
      </w:r>
    </w:p>
    <w:p w14:paraId="6AF2A2D7" w14:textId="0A9438BE" w:rsidR="00E974A3" w:rsidRDefault="00E974A3" w:rsidP="00BA0CF6">
      <w:pPr>
        <w:pStyle w:val="NoSpacing"/>
      </w:pPr>
    </w:p>
    <w:p w14:paraId="735188EB" w14:textId="19825C85" w:rsidR="00E974A3" w:rsidRDefault="00594C86" w:rsidP="00BA0CF6">
      <w:pPr>
        <w:pStyle w:val="NoSpacing"/>
        <w:rPr>
          <w:b/>
          <w:bCs/>
        </w:rPr>
      </w:pPr>
      <w:r>
        <w:rPr>
          <w:b/>
          <w:bCs/>
        </w:rPr>
        <w:t>IV.</w:t>
      </w:r>
      <w:r>
        <w:t xml:space="preserve"> </w:t>
      </w:r>
      <w:r>
        <w:rPr>
          <w:b/>
          <w:bCs/>
        </w:rPr>
        <w:t>Conclusions</w:t>
      </w:r>
    </w:p>
    <w:p w14:paraId="39242492" w14:textId="77777777" w:rsidR="006438C0" w:rsidRDefault="006438C0" w:rsidP="00BA0CF6">
      <w:pPr>
        <w:pStyle w:val="NoSpacing"/>
      </w:pPr>
    </w:p>
    <w:p w14:paraId="23FC1A1C" w14:textId="238AB693" w:rsidR="006438C0" w:rsidRDefault="006438C0" w:rsidP="006D604C">
      <w:pPr>
        <w:pStyle w:val="NoSpacing"/>
        <w:numPr>
          <w:ilvl w:val="0"/>
          <w:numId w:val="3"/>
        </w:numPr>
      </w:pPr>
      <w:r>
        <w:t>W</w:t>
      </w:r>
      <w:r w:rsidRPr="00D1778D">
        <w:t xml:space="preserve">hen the market prices go up, the </w:t>
      </w:r>
      <w:r>
        <w:t xml:space="preserve">actual and </w:t>
      </w:r>
      <w:r w:rsidRPr="00D1778D">
        <w:t xml:space="preserve">implied volatility go down and vice versa. </w:t>
      </w:r>
      <w:r>
        <w:t>T</w:t>
      </w:r>
      <w:r w:rsidRPr="00D1778D">
        <w:t xml:space="preserve">he strike prices </w:t>
      </w:r>
      <w:r>
        <w:t>have an inverse</w:t>
      </w:r>
      <w:r w:rsidRPr="00D1778D">
        <w:t xml:space="preserve"> relationship </w:t>
      </w:r>
      <w:r>
        <w:t xml:space="preserve">with volatility </w:t>
      </w:r>
      <w:r w:rsidRPr="00D1778D">
        <w:t>when examining the option chains</w:t>
      </w:r>
      <w:r>
        <w:t>.</w:t>
      </w:r>
    </w:p>
    <w:p w14:paraId="1B8AEBD6" w14:textId="77777777" w:rsidR="006438C0" w:rsidRDefault="006438C0" w:rsidP="006D604C">
      <w:pPr>
        <w:pStyle w:val="NoSpacing"/>
      </w:pPr>
    </w:p>
    <w:p w14:paraId="54E2EF4D" w14:textId="0EC73D5D" w:rsidR="00D1778D" w:rsidRDefault="00774484" w:rsidP="006D604C">
      <w:pPr>
        <w:pStyle w:val="NoSpacing"/>
        <w:numPr>
          <w:ilvl w:val="0"/>
          <w:numId w:val="3"/>
        </w:numPr>
      </w:pPr>
      <w:r>
        <w:t xml:space="preserve">When comparing the implied volatility with the volatilities taken from the Bloomberg Terminal, it was observed that </w:t>
      </w:r>
      <w:r w:rsidR="007A035C">
        <w:t xml:space="preserve">larger jumps in the stock price </w:t>
      </w:r>
      <w:r w:rsidR="006D604C">
        <w:t xml:space="preserve">(up or down) </w:t>
      </w:r>
      <w:r w:rsidR="007A035C">
        <w:t>corresponded to a greater error when calculating implied volatility. This seems to show that the more volatile the stock, the more difficult it is to correctly gauge implied volatility.</w:t>
      </w:r>
    </w:p>
    <w:p w14:paraId="0E5EC17B" w14:textId="77777777" w:rsidR="006D604C" w:rsidRDefault="006D604C" w:rsidP="006D604C">
      <w:pPr>
        <w:pStyle w:val="NoSpacing"/>
      </w:pPr>
    </w:p>
    <w:p w14:paraId="0424AF1E" w14:textId="0AD41297" w:rsidR="006D604C" w:rsidRDefault="006D604C" w:rsidP="006D604C">
      <w:pPr>
        <w:pStyle w:val="NoSpacing"/>
        <w:numPr>
          <w:ilvl w:val="0"/>
          <w:numId w:val="3"/>
        </w:numPr>
      </w:pPr>
      <w:r>
        <w:t>Greater stock value corresponds with greater option prices.</w:t>
      </w:r>
    </w:p>
    <w:p w14:paraId="3D52E090" w14:textId="77777777" w:rsidR="006409B9" w:rsidRDefault="006409B9" w:rsidP="006D604C">
      <w:pPr>
        <w:pStyle w:val="NoSpacing"/>
      </w:pPr>
    </w:p>
    <w:p w14:paraId="4ED0DA48" w14:textId="1FE7AA7C" w:rsidR="006409B9" w:rsidRDefault="006409B9" w:rsidP="006D604C">
      <w:pPr>
        <w:pStyle w:val="NoSpacing"/>
        <w:numPr>
          <w:ilvl w:val="0"/>
          <w:numId w:val="3"/>
        </w:numPr>
      </w:pPr>
      <w:r>
        <w:t>Generally speaking, the Newton-Raphson Method seems to underestimate actual volatility.</w:t>
      </w:r>
    </w:p>
    <w:p w14:paraId="3F119A65" w14:textId="77777777" w:rsidR="00D1778D" w:rsidRDefault="00D1778D" w:rsidP="00BA0CF6">
      <w:pPr>
        <w:pStyle w:val="NoSpacing"/>
      </w:pPr>
    </w:p>
    <w:sectPr w:rsidR="00D1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30A"/>
    <w:multiLevelType w:val="hybridMultilevel"/>
    <w:tmpl w:val="DD049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508A"/>
    <w:multiLevelType w:val="hybridMultilevel"/>
    <w:tmpl w:val="5FA228BA"/>
    <w:lvl w:ilvl="0" w:tplc="5CB62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40FD"/>
    <w:multiLevelType w:val="hybridMultilevel"/>
    <w:tmpl w:val="DF28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70"/>
    <w:rsid w:val="000C05F0"/>
    <w:rsid w:val="001848CF"/>
    <w:rsid w:val="003C18DE"/>
    <w:rsid w:val="00594C86"/>
    <w:rsid w:val="005D2783"/>
    <w:rsid w:val="006409B9"/>
    <w:rsid w:val="006438C0"/>
    <w:rsid w:val="006D604C"/>
    <w:rsid w:val="00774484"/>
    <w:rsid w:val="007A035C"/>
    <w:rsid w:val="0088525D"/>
    <w:rsid w:val="009E4B8D"/>
    <w:rsid w:val="00AD6562"/>
    <w:rsid w:val="00B34FF5"/>
    <w:rsid w:val="00BA0CF6"/>
    <w:rsid w:val="00D1778D"/>
    <w:rsid w:val="00DB3E13"/>
    <w:rsid w:val="00E974A3"/>
    <w:rsid w:val="00FB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6B35"/>
  <w15:chartTrackingRefBased/>
  <w15:docId w15:val="{27926C23-BCDF-43E2-AED4-232CE1A5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F6"/>
    <w:pPr>
      <w:ind w:left="720"/>
      <w:contextualSpacing/>
    </w:pPr>
  </w:style>
  <w:style w:type="paragraph" w:styleId="NoSpacing">
    <w:name w:val="No Spacing"/>
    <w:uiPriority w:val="1"/>
    <w:qFormat/>
    <w:rsid w:val="00BA0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Lindeblad</dc:creator>
  <cp:keywords/>
  <dc:description/>
  <cp:lastModifiedBy>Marshall Lindeblad</cp:lastModifiedBy>
  <cp:revision>11</cp:revision>
  <dcterms:created xsi:type="dcterms:W3CDTF">2020-05-11T17:46:00Z</dcterms:created>
  <dcterms:modified xsi:type="dcterms:W3CDTF">2020-05-11T19:37:00Z</dcterms:modified>
</cp:coreProperties>
</file>