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GymFinder Canada</w:t>
      </w:r>
    </w:p>
    <w:p>
      <w:pPr>
        <w:spacing w:after="500"/>
      </w:pPr>
      <w:r>
        <w:rPr>
          <w:rFonts w:ascii="Calibri" w:cs="Calibri" w:eastAsia="Calibri" w:hAnsi="Calibri"/>
          <w:i/>
          <w:iCs/>
          <w:sz w:val="28"/>
          <w:szCs w:val="28"/>
        </w:rPr>
        <w:t xml:space="preserve">Comprehensive Discussion Report: Product, Legal, and Cybersecurity Considerations</w:t>
      </w:r>
    </w:p>
    <w:p>
      <w:pPr>
        <w:spacing w:after="200"/>
        <w:jc w:val="both"/>
      </w:pPr>
      <w:r>
        <w:rPr>
          <w:rFonts w:ascii="Calibri" w:cs="Calibri" w:eastAsia="Calibri" w:hAnsi="Calibri"/>
          <w:sz w:val="22"/>
          <w:szCs w:val="22"/>
        </w:rPr>
        <w:t xml:space="preserve">This report consolidates every substantive topic discussed regarding the GymFinder Canada project: a Canada-wide application for locating gyms by brand and by the specific equipment they contain, powered by a combination of public map data and crowdsourced, user-submitted confirmations and reviews. It is organized into three parts: product and feature brainstorming, legal considerations, and cybersecurity considerations. Each topic is treated in full rather than condensed, with the reasoning behind each point included alongside the point itself, so that this document can serve as a standalone reference independent of the conversation that produced it.</w:t>
      </w:r>
    </w:p>
    <w:p>
      <w:pPr>
        <w:spacing w:after="300"/>
      </w:pPr>
    </w:p>
    <w:p>
      <w:pPr>
        <w:pStyle w:val="Heading1"/>
        <w:pageBreakBefore/>
        <w:spacing w:after="220" w:before="480"/>
      </w:pPr>
      <w:r>
        <w:t xml:space="preserve">Part I — Product and Feature Brainstorming</w:t>
      </w:r>
    </w:p>
    <w:p>
      <w:pPr>
        <w:pStyle w:val="Heading2"/>
        <w:spacing w:after="160" w:before="340"/>
      </w:pPr>
      <w:r>
        <w:t xml:space="preserve">1.1 The Core System Loop</w:t>
      </w:r>
    </w:p>
    <w:p>
      <w:pPr>
        <w:spacing w:after="200"/>
        <w:jc w:val="both"/>
      </w:pPr>
      <w:r>
        <w:rPr>
          <w:rFonts w:ascii="Calibri" w:cs="Calibri" w:eastAsia="Calibri" w:hAnsi="Calibri"/>
          <w:sz w:val="22"/>
          <w:szCs w:val="22"/>
        </w:rPr>
        <w:t xml:space="preserve">At its foundation, GymFinder Canada operates on a simple repeating loop, and understanding this loop clearly is what makes every other design decision — incentives, trust mechanics, tutorials, demographic features — make sense in context. The loop begins before any user ever opens the app: baseline gym location data is seeded into the system from a public, free source (OpenStreetMap, queried through its Overpass API), giving the app a foundation of real, named, geolocated gyms across the country. At this starting point, however, every one of those gyms is an empty shell: it has a name, a brand, and a set of coordinates, but zero confirmed machines and zero reviews. The application's value is entirely dependent on what gets layered on top of that shell by real users.</w:t>
      </w:r>
    </w:p>
    <w:p>
      <w:pPr>
        <w:spacing w:after="200"/>
        <w:jc w:val="both"/>
      </w:pPr>
      <w:r>
        <w:rPr>
          <w:rFonts w:ascii="Calibri" w:cs="Calibri" w:eastAsia="Calibri" w:hAnsi="Calibri"/>
          <w:sz w:val="22"/>
          <w:szCs w:val="22"/>
        </w:rPr>
        <w:t xml:space="preserve">When a user opens the app, they engage in a search: they select a brand (or choose to search across all brands), select one or more specific pieces of equipment they care about (for example, a squat rack and a specific brand of stationary bike), and provide a location, either by typing an address or allowing the app to use their current position. The system then calculates the distance from that location to every gym in the database, filters down to gyms matching the selected brand, and — critically — filters further to gyms where a sufficient number of users have confirmed that the selected equipment is actually present. This last filtering step is what separates GymFinder Canada from a generic map or directory: it is answering a question that no generic mapping service can answer, because the answer does not exist in any public dataset — it only exists in the collective, current knowledge of people who have physically been inside that gym recently.</w:t>
      </w:r>
    </w:p>
    <w:p>
      <w:pPr>
        <w:spacing w:after="200"/>
        <w:jc w:val="both"/>
      </w:pPr>
      <w:r>
        <w:rPr>
          <w:rFonts w:ascii="Calibri" w:cs="Calibri" w:eastAsia="Calibri" w:hAnsi="Calibri"/>
          <w:sz w:val="22"/>
          <w:szCs w:val="22"/>
        </w:rPr>
        <w:t xml:space="preserve">Once a user has visited a gym found through the app, the loop closes: they are prompted to contribute back, either by leaving a general review of their experience or by confirming (or correcting) the list of machines present. This contribution becomes part of the dataset that the next searcher relies on. The entire system, therefore, is a continuously regenerating loop of search, visit, and contribution, and its long-term health depends entirely on enough users completing that final contribution step consistently enough that the equipment data stays both broad in coverage and current in accuracy.</w:t>
      </w:r>
    </w:p>
    <w:p>
      <w:pPr>
        <w:pStyle w:val="Heading2"/>
        <w:spacing w:after="160" w:before="340"/>
      </w:pPr>
      <w:r>
        <w:t xml:space="preserve">1.2 The Cold-Start Problem</w:t>
      </w:r>
    </w:p>
    <w:p>
      <w:pPr>
        <w:spacing w:after="200"/>
        <w:jc w:val="both"/>
      </w:pPr>
      <w:r>
        <w:rPr>
          <w:rFonts w:ascii="Calibri" w:cs="Calibri" w:eastAsia="Calibri" w:hAnsi="Calibri"/>
          <w:sz w:val="22"/>
          <w:szCs w:val="22"/>
        </w:rPr>
        <w:t xml:space="preserve">Every crowdsourced system faces what is commonly called the cold-start problem: the system is only useful once it has enough contributed data, but no one is motivated to contribute data to a system that is not yet useful. This is the same dynamic that early rideshare and traffic apps like Waze faced — a traffic app with only ten users provides almost no traffic information, and a nearly empty gym-equipment app provides almost no equipment information. In the specific case of GymFinder Canada, this means that immediately after the location-fetching step (populating the database with real gyms from OpenStreetMap), essentially every one of those gyms will show “no confirmed machines yet,” which is not a useful answer to the exact question a searching user is asking.</w:t>
      </w:r>
    </w:p>
    <w:p>
      <w:pPr>
        <w:spacing w:after="200"/>
        <w:jc w:val="both"/>
      </w:pPr>
      <w:r>
        <w:rPr>
          <w:rFonts w:ascii="Calibri" w:cs="Calibri" w:eastAsia="Calibri" w:hAnsi="Calibri"/>
          <w:sz w:val="22"/>
          <w:szCs w:val="22"/>
        </w:rPr>
        <w:t xml:space="preserve">Two complementary approaches were discussed to soften this problem rather than eliminate it outright, since it cannot be fully eliminated without an existing user base. The first is to use community data enrichment — scanning Reddit posts and comments (through Reddit's official API, discussed at length in the legal section of this report) for mentions of a specific gym alongside mentions of specific equipment, and using any matches found as suggested, unconfirmed machine entries. These suggestions would be visually and functionally distinct from user-confirmed entries — lower trust, clearly labeled as unverified, and superseded the moment a real user confirms or denies them — but they would prevent a brand-new gym listing from being a completely blank, discouraging page. The second approach is to treat the absence of data as an active prompt rather than a dead end: rather than simply displaying an empty equipment list, a gym page with no confirmations can directly ask the visitor, “No one has confirmed equipment here yet — were you just here? Add what you saw,” turning the exact moment of data absence into the highest-leverage moment to request a contribution, since the user is, by definition, someone who searched for that gym and therefore has some connection to it.</w:t>
      </w:r>
    </w:p>
    <w:p>
      <w:pPr>
        <w:pStyle w:val="Heading2"/>
        <w:spacing w:after="160" w:before="340"/>
      </w:pPr>
      <w:r>
        <w:t xml:space="preserve">1.3 Trust, Confirmation, and Data Decay</w:t>
      </w:r>
    </w:p>
    <w:p>
      <w:pPr>
        <w:spacing w:after="200"/>
        <w:jc w:val="both"/>
      </w:pPr>
      <w:r>
        <w:rPr>
          <w:rFonts w:ascii="Calibri" w:cs="Calibri" w:eastAsia="Calibri" w:hAnsi="Calibri"/>
          <w:sz w:val="22"/>
          <w:szCs w:val="22"/>
        </w:rPr>
        <w:t xml:space="preserve">A crowdsourced equipment list is only as good as the mechanism that keeps it accurate over time, and gyms are not static: equipment is swapped out, sections get renovated, machines break down and get removed, and franchise locations under the same brand name can have meaningfully different equipment from one another. This means the system cannot treat a single user confirmation as permanent truth. The design discussed treats each piece of equipment at each gym as having a confirmation count — for example, a squat rack at a given location might display as “confirmed by 12 users, most recently 3 weeks ago.” Both numbers matter for different reasons: the count reflects breadth of agreement (reducing the impact of any single mistaken or malicious entry), while the recency reflects the likelihood that the information still reflects the gym's current state.</w:t>
      </w:r>
    </w:p>
    <w:p>
      <w:pPr>
        <w:spacing w:after="200"/>
        <w:jc w:val="both"/>
      </w:pPr>
      <w:r>
        <w:rPr>
          <w:rFonts w:ascii="Calibri" w:cs="Calibri" w:eastAsia="Calibri" w:hAnsi="Calibri"/>
          <w:sz w:val="22"/>
          <w:szCs w:val="22"/>
        </w:rPr>
        <w:t xml:space="preserve">Data decay was discussed as a necessary companion mechanism to confirmation counts: if a piece of equipment has not been reconfirmed within some threshold period — six months was used as an illustrative figure, though the actual value would need tuning against real usage patterns — the system should visually downgrade its display status, for instance showing it as “unconfirmed recently” rather than presenting a two-year-old single confirmation with the same visual confidence as a confirmation from last week. This is the mechanism that allows the data to stay honest over time without requiring a human moderator to manually review and expire old entries; the system ages out stale information automatically and relies on the natural flow of new visitors to refresh it.</w:t>
      </w:r>
    </w:p>
    <w:p>
      <w:pPr>
        <w:pStyle w:val="Heading2"/>
        <w:spacing w:after="160" w:before="340"/>
      </w:pPr>
      <w:r>
        <w:t xml:space="preserve">1.4 Incentive Structures for User Verification</w:t>
      </w:r>
    </w:p>
    <w:p>
      <w:pPr>
        <w:spacing w:after="200"/>
        <w:jc w:val="both"/>
      </w:pPr>
      <w:r>
        <w:rPr>
          <w:rFonts w:ascii="Calibri" w:cs="Calibri" w:eastAsia="Calibri" w:hAnsi="Calibri"/>
          <w:sz w:val="22"/>
          <w:szCs w:val="22"/>
        </w:rPr>
        <w:t xml:space="preserve">Because the entire system depends on users voluntarily taking the extra step of confirming or reporting equipment — an action that provides no direct benefit to the user performing it in the moment — the question of what motivates that action was treated as one of the most important design questions in the whole project, arguably more consequential than any individual technical feature. Five distinct categories of incentive were considered, each solving a somewhat different problem and carrying different costs and risks.</w:t>
      </w:r>
    </w:p>
    <w:p>
      <w:pPr>
        <w:pStyle w:val="Heading3"/>
        <w:spacing w:after="120" w:before="260"/>
      </w:pPr>
      <w:r>
        <w:t xml:space="preserve">1.4.1 Reciprocity-Based Incentives</w:t>
      </w:r>
    </w:p>
    <w:p>
      <w:pPr>
        <w:spacing w:after="200"/>
        <w:jc w:val="both"/>
      </w:pPr>
      <w:r>
        <w:rPr>
          <w:rFonts w:ascii="Calibri" w:cs="Calibri" w:eastAsia="Calibri" w:hAnsi="Calibri"/>
          <w:sz w:val="22"/>
          <w:szCs w:val="22"/>
        </w:rPr>
        <w:t xml:space="preserve">The first and simplest category relies on the user's own understanding that the system's usefulness to them personally depends on enough people, including themselves, contributing to it. This is the model used successfully by Waze: users implicitly understand that reporting a hazard is part of what makes the app work for everyone, including their own future use of it. This incentive works best when the app has already delivered value to the user before asking for a contribution — for example, the user has just used the app to successfully find a gym with the equipment they wanted, and is now standing in that gym, which is a low-friction, contextually natural moment to ask them to give something back. The primary advantage of this incentive category is that it costs essentially nothing to build — it is a matter of framing and prompt timing rather than new infrastructure — and it does not introduce any risk of gaming the system, since there is no reward being farmed.</w:t>
      </w:r>
    </w:p>
    <w:p>
      <w:pPr>
        <w:pStyle w:val="Heading3"/>
        <w:spacing w:after="120" w:before="260"/>
      </w:pPr>
      <w:r>
        <w:t xml:space="preserve">1.4.2 Status and Recognition-Based Incentives</w:t>
      </w:r>
    </w:p>
    <w:p>
      <w:pPr>
        <w:spacing w:after="200"/>
        <w:jc w:val="both"/>
      </w:pPr>
      <w:r>
        <w:rPr>
          <w:rFonts w:ascii="Calibri" w:cs="Calibri" w:eastAsia="Calibri" w:hAnsi="Calibri"/>
          <w:sz w:val="22"/>
          <w:szCs w:val="22"/>
        </w:rPr>
        <w:t xml:space="preserve">The second category uses visible status, contribution counts, badges, or leaderboards to reward participation — the model used by Google Local Guides and historically by Yelp Elite. A user might see their own history of confirmed machines and reviews building up as a visible profile, and could earn a “trusted contributor” label after a sustained history of accurate reporting. This category is relatively cheap to build (it largely requires tracking and displaying data the system would need to store anyway) and tends to work very well for a subset of highly engaged users who respond strongly to recognition and gamified progress. Its limitation is that this subset is typically a minority of any user base — most users will not be motivated by a badge — so it functions best as a supplementary layer that deepens engagement among already-motivated contributors rather than as the primary driver of mass participation.</w:t>
      </w:r>
    </w:p>
    <w:p>
      <w:pPr>
        <w:pStyle w:val="Heading3"/>
        <w:spacing w:after="120" w:before="260"/>
      </w:pPr>
      <w:r>
        <w:t xml:space="preserve">1.4.3 Utility-Based Incentives</w:t>
      </w:r>
    </w:p>
    <w:p>
      <w:pPr>
        <w:spacing w:after="200"/>
        <w:jc w:val="both"/>
      </w:pPr>
      <w:r>
        <w:rPr>
          <w:rFonts w:ascii="Calibri" w:cs="Calibri" w:eastAsia="Calibri" w:hAnsi="Calibri"/>
          <w:sz w:val="22"/>
          <w:szCs w:val="22"/>
        </w:rPr>
        <w:t xml:space="preserve">The third category ties the act of contributing directly to an improvement in what the contributing user is able to do with the app — for example, unlocking the ability to filter by highly specific machine types only after a user has confirmed some minimum number of machines themselves. This category has a real risk that must be weighed carefully: gating the app's core value behind a contribution requirement can cause new users to abandon the app before they have experienced enough value to feel motivated to contribute, particularly on their very first visit when they have not yet built any trust in or attachment to the product. The generally safer version of this pattern is to let the first search or two remain completely free of any gating, and only introduce soft nudges toward contribution once the user has already experienced the app's value at least once.</w:t>
      </w:r>
    </w:p>
    <w:p>
      <w:pPr>
        <w:pStyle w:val="Heading3"/>
        <w:spacing w:after="120" w:before="260"/>
      </w:pPr>
      <w:r>
        <w:t xml:space="preserve">1.4.4 Streak and Habit-Based Incentives</w:t>
      </w:r>
    </w:p>
    <w:p>
      <w:pPr>
        <w:spacing w:after="200"/>
        <w:jc w:val="both"/>
      </w:pPr>
      <w:r>
        <w:rPr>
          <w:rFonts w:ascii="Calibri" w:cs="Calibri" w:eastAsia="Calibri" w:hAnsi="Calibri"/>
          <w:sz w:val="22"/>
          <w:szCs w:val="22"/>
        </w:rPr>
        <w:t xml:space="preserve">The fourth category, modeled on Duolingo-style daily streaks, was considered and explicitly set aside as a poor fit for this specific application. Streak mechanics work well for behaviors that naturally recur on a daily cadence, which matches a language-learning habit but does not match typical gym attendance patterns for most users, who might visit a gym a few times a week at most and are highly unlikely to be checking or contributing to a gym-finder app daily regardless of how often they work out. Forcing a streak mechanic onto a non-daily usage pattern typically produces frustration rather than engagement, since users are punished by streak resets for behavior that was never realistically going to be daily in the first place. This category was flagged as worth explicitly deciding against, rather than a viable option to weigh alongside the others.</w:t>
      </w:r>
    </w:p>
    <w:p>
      <w:pPr>
        <w:pStyle w:val="Heading3"/>
        <w:spacing w:after="120" w:before="260"/>
      </w:pPr>
      <w:r>
        <w:t xml:space="preserve">1.4.5 Direct Reward-Based Incentives</w:t>
      </w:r>
    </w:p>
    <w:p>
      <w:pPr>
        <w:spacing w:after="200"/>
        <w:jc w:val="both"/>
      </w:pPr>
      <w:r>
        <w:rPr>
          <w:rFonts w:ascii="Calibri" w:cs="Calibri" w:eastAsia="Calibri" w:hAnsi="Calibri"/>
          <w:sz w:val="22"/>
          <w:szCs w:val="22"/>
        </w:rPr>
        <w:t xml:space="preserve">The fifth and highest-risk category involves tying confirmations or reviews directly to tangible rewards — points redeemable for discounts, partnerships with gym brands offering perks for contributors, and similar mechanisms. This category is the most powerful lever for driving raw participation volume, but it is also the most dangerous to the system's core value proposition, because the moment a contribution becomes valuable in itself (independent of whether it is accurate), it creates a direct financial incentive for users to submit fast, careless, or outright fabricated confirmations purely to farm the reward. This directly undermines the exact data quality and trustworthiness that the entire app exists to provide. If this category is ever pursued, it was discussed as needing to be paired tightly with the trust and decay mechanics described in section 1.3 — rate limiting, confirmation thresholds, and staleness decay — rather than deployed as a replacement for them.</w:t>
      </w:r>
    </w:p>
    <w:p>
      <w:pPr>
        <w:pStyle w:val="Heading3"/>
        <w:spacing w:after="120" w:before="260"/>
      </w:pPr>
      <w:r>
        <w:t xml:space="preserve">1.4.6 Recommended Starting Point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Recommendation</w:t>
            </w:r>
          </w:p>
          <w:p>
            <w:r>
              <w:rPr>
                <w:rFonts w:ascii="Calibri" w:cs="Calibri" w:eastAsia="Calibri" w:hAnsi="Calibri"/>
                <w:sz w:val="22"/>
                <w:szCs w:val="22"/>
              </w:rPr>
              <w:t xml:space="preserve">The lowest-risk, lowest-cost starting point discussed was a combination of reciprocity framing (asking for a contribution at the natural moment a user has just benefited from the app) plus a light status layer (a visible, simple contribution count and an eventual “trusted contributor” designation). This combination avoids introducing any gaming incentive, requires no ongoing partnership or financial commitment, and can be built with data the system needs to track regardless. Reward-based incentives were discussed as something to defer until there is enough real usage data to determine whether the simpler incentives are actually insufficient — introducing financial rewards prematurely, before that need is demonstrated, adds risk without a demonstrated corresponding benefit.</w:t>
            </w:r>
          </w:p>
        </w:tc>
      </w:tr>
    </w:tbl>
    <w:p>
      <w:pPr>
        <w:spacing w:after="160"/>
      </w:pPr>
    </w:p>
    <w:p>
      <w:pPr>
        <w:spacing w:after="200"/>
        <w:jc w:val="both"/>
      </w:pPr>
      <w:r>
        <w:rPr>
          <w:rFonts w:ascii="Calibri" w:cs="Calibri" w:eastAsia="Calibri" w:hAnsi="Calibri"/>
          <w:sz w:val="22"/>
          <w:szCs w:val="22"/>
        </w:rPr>
        <w:t xml:space="preserve">A related open question raised but not resolved in discussion is whether the product should aim for mass-shallow participation — a very large number of users each contributing a single quick confirmation — or a smaller pool of deeply engaged, trusted regulars who provide more thorough and repeated upkeep of the data. This choice has direct implications for which incentive category should be emphasized: status and trust mechanics tend to favor cultivating a smaller trusted core, while more viral, shareable mechanics tend to favor mass-shallow participation. This is a strategic decision that would benefit from being made deliberately once the product's target user base and growth strategy are clearer, rather than being an incidental byproduct of whichever incentive happens to be built first.</w:t>
      </w:r>
    </w:p>
    <w:p>
      <w:pPr>
        <w:pStyle w:val="Heading2"/>
        <w:spacing w:after="160" w:before="340"/>
      </w:pPr>
      <w:r>
        <w:t xml:space="preserve">1.5 Machine-Specific Tutorials and Equipment Notes</w:t>
      </w:r>
    </w:p>
    <w:p>
      <w:pPr>
        <w:spacing w:after="200"/>
        <w:jc w:val="both"/>
      </w:pPr>
      <w:r>
        <w:rPr>
          <w:rFonts w:ascii="Calibri" w:cs="Calibri" w:eastAsia="Calibri" w:hAnsi="Calibri"/>
          <w:sz w:val="22"/>
          <w:szCs w:val="22"/>
        </w:rPr>
        <w:t xml:space="preserve">The idea of including tutorials for how to use specific gym machines was raised, and the discussion concluded that a generic version of this feature — recreating standard “how to use a squat rack” style instructional content — would not be a wise use of development effort. YouTube already hosts a very large volume of well-produced instructional content of exactly this kind, created by people and organizations with substantially greater video production resources and expertise than a solo developer working on a side project could realistically match. Attempting to compete directly on generic exercise-instruction content would mean investing significant effort into recreating something that already exists in abundance and at higher quality elsewhere, without adding anything genuinely new.</w:t>
      </w:r>
    </w:p>
    <w:p>
      <w:pPr>
        <w:spacing w:after="200"/>
        <w:jc w:val="both"/>
      </w:pPr>
      <w:r>
        <w:rPr>
          <w:rFonts w:ascii="Calibri" w:cs="Calibri" w:eastAsia="Calibri" w:hAnsi="Calibri"/>
          <w:sz w:val="22"/>
          <w:szCs w:val="22"/>
        </w:rPr>
        <w:t xml:space="preserve">The version of this idea judged to be genuinely valuable is narrower and more specific: gym-specific equipment quirks that no generic tutorial video could ever capture, because they are true only of one particular machine at one particular physical location. Examples discussed include notes such as a specific location's leg press having its safety pin on the opposite side from most models of that machine, a specific cable machine at a specific gym being missing its low-pulley attachment and requiring a request at the front desk, or a specific stationary bike's seat adjustment mechanism being unusually stiff. This category of information is valuable precisely because it cannot be sourced from anywhere else — it is not duplicating existing content, it is extending the same crowdsourced-accuracy principle that underlies the entire app (a real user was physically present and observed something useful) one layer deeper, from “does this gym have this machine” to “what should I know about using this machine specifically at this gym.”</w:t>
      </w:r>
    </w:p>
    <w:p>
      <w:pPr>
        <w:spacing w:after="200"/>
        <w:jc w:val="both"/>
      </w:pPr>
      <w:r>
        <w:rPr>
          <w:rFonts w:ascii="Calibri" w:cs="Calibri" w:eastAsia="Calibri" w:hAnsi="Calibri"/>
          <w:sz w:val="22"/>
          <w:szCs w:val="22"/>
        </w:rPr>
        <w:t xml:space="preserve">From an implementation perspective, this was discussed as not warranting a separate content system at all, but rather as an additional optional field on the existing machine-confirmation flow already described in section 1.3 — reusing the same contribution mechanic (a user who was at the gym, providing a small piece of typed or tapped information) rather than requiring new infrastructure, moderation systems, or content pipelines. For the separate, legitimate need of general “how do I use this type of machine at all” instruction, the recommended approach is to link out to, or embed, a small number of existing well-regarded videos for each general machine type, reused identically across every gym that has that machine type, rather than hosting original instructional content.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Scope and Tone Caution</w:t>
            </w:r>
          </w:p>
          <w:p>
            <w:r>
              <w:rPr>
                <w:rFonts w:ascii="Calibri" w:cs="Calibri" w:eastAsia="Calibri" w:hAnsi="Calibri"/>
                <w:sz w:val="22"/>
                <w:szCs w:val="22"/>
              </w:rPr>
              <w:t xml:space="preserve">Two cautions were raised alongside this feature. First, a scope-creep risk: the app's core value proposition is finding a gym with a specific machine, and tutorials are an adjacent feature rather than a central one, so this should be treated as a clearly later-phase addition that does not compete for development time against the core search-and-confirmation loop while that loop is still being built and refined. Second, a tone and liability caution: the moment the app moves from a factual equipment note (“the safety pin is on the left here”) into actual exercise form guidance, it enters safety-adjacent territory, and any such content should be clearly labeled as user-submitted rather than professional instruction, to avoid implying a level of expert vetting that does not exist.</w:t>
            </w:r>
          </w:p>
        </w:tc>
      </w:tr>
    </w:tbl>
    <w:p>
      <w:pPr>
        <w:pStyle w:val="Heading2"/>
        <w:spacing w:after="160" w:before="340"/>
      </w:pPr>
      <w:r>
        <w:t xml:space="preserve">1.6 Demographics and Audience-Fit Features</w:t>
      </w:r>
    </w:p>
    <w:p>
      <w:pPr>
        <w:spacing w:after="200"/>
        <w:jc w:val="both"/>
      </w:pPr>
      <w:r>
        <w:rPr>
          <w:rFonts w:ascii="Calibri" w:cs="Calibri" w:eastAsia="Calibri" w:hAnsi="Calibri"/>
          <w:sz w:val="22"/>
          <w:szCs w:val="22"/>
        </w:rPr>
        <w:t xml:space="preserve">The question of whether the app should incorporate some notion of demographics — helping certain users find gyms that suit particular groups they belong to or are looking for — was raised and discussed in depth, because it splits clearly into a version that is genuinely useful and low-risk, and a version that carries substantial legal and ethical risk. The distinction the discussion settled on is between describing what a gym offers or is like (a feature of the business, generally already stated or knowable) versus attempting to characterize or track who attends a gym (an inference or classification of people, which is a fundamentally different and much more sensitive kind of data).</w:t>
      </w:r>
    </w:p>
    <w:p>
      <w:pPr>
        <w:pStyle w:val="Heading3"/>
        <w:spacing w:after="120" w:before="260"/>
      </w:pPr>
      <w:r>
        <w:t xml:space="preserve">1.6.1 The Lower-Risk Version: Amenities and Vibe Signals</w:t>
      </w:r>
    </w:p>
    <w:p>
      <w:pPr>
        <w:spacing w:after="200"/>
        <w:jc w:val="both"/>
      </w:pPr>
      <w:r>
        <w:rPr>
          <w:rFonts w:ascii="Calibri" w:cs="Calibri" w:eastAsia="Calibri" w:hAnsi="Calibri"/>
          <w:sz w:val="22"/>
          <w:szCs w:val="22"/>
        </w:rPr>
        <w:t xml:space="preserve">Several concrete examples of the safer version were discussed. Women-only hours or women-only sections are a real, common, and typically publicly advertised feature that many gyms already state openly, so surfacing this as a searchable filter is simply relaying information the gym itself already discloses, not an inference the app is making about clientele. Accessibility features — wheelchair access, adapted machines, accessible parking or entrances — are similarly often already published by gyms and are unambiguously useful information for users who need them. Comfort and atmosphere signals such as “beginner-friendly,” “not too crowded during peak hours,” or “welcoming to first-timers” can emerge organically from the free-text content of user reviews and be surfaced as tags, meaning the app is reflecting language users chose to use about their own experience rather than the app independently classifying the gym or its patrons. Kid-friendly features such as on-site childcare or specific family hours were also discussed as a legitimate, low-risk category of the same kind.</w:t>
      </w:r>
    </w:p>
    <w:p>
      <w:pPr>
        <w:spacing w:after="200"/>
        <w:jc w:val="both"/>
      </w:pPr>
      <w:r>
        <w:rPr>
          <w:rFonts w:ascii="Calibri" w:cs="Calibri" w:eastAsia="Calibri" w:hAnsi="Calibri"/>
          <w:sz w:val="22"/>
          <w:szCs w:val="22"/>
        </w:rPr>
        <w:t xml:space="preserve">All of these examples share a common structure: they describe the business's stated features or reflect users' own voluntary characterizations of their own experience, sourced from things gyms already state publicly or users already choose to say. This is a meaningfully different, much lower-risk category of feature than one where the app itself maintains any kind of profile of who is present at a given location.</w:t>
      </w:r>
    </w:p>
    <w:p>
      <w:pPr>
        <w:pStyle w:val="Heading3"/>
        <w:spacing w:after="120" w:before="260"/>
      </w:pPr>
      <w:r>
        <w:t xml:space="preserve">1.6.2 The Higher-Risk Version: Demographic Profiling</w:t>
      </w:r>
    </w:p>
    <w:p>
      <w:pPr>
        <w:spacing w:after="200"/>
        <w:jc w:val="both"/>
      </w:pPr>
      <w:r>
        <w:rPr>
          <w:rFonts w:ascii="Calibri" w:cs="Calibri" w:eastAsia="Calibri" w:hAnsi="Calibri"/>
          <w:sz w:val="22"/>
          <w:szCs w:val="22"/>
        </w:rPr>
        <w:t xml:space="preserve">The riskier version discussed involves the app attempting to characterize, infer, or score gyms according to the race, religion, sexual orientation, gender identity, age, or disability status of the people who attend them. Several distinct problems with this version were identified. There is a legal exposure problem: Canadian human rights legislation restricts using protected characteristics to steer people toward or away from a service, and even a well-intentioned framing along the lines of “help people find where they will feel comfortable” can shade into something that functions as discriminatory sorting depending on how it is implemented and used. There is also a data provenance problem: the app would have no reliable way to actually know the demographic makeup of a gym's clientele unless individuals voluntarily self-disclose that information, meaning any system that assigns demographic characterizations to a location would necessarily be built on guesses, inference, or aggregated assumptions about other people's protected characteristics, which is itself a significant data-handling hazard independent of how the resulting information is used.</w:t>
      </w:r>
    </w:p>
    <w:p>
      <w:pPr>
        <w:spacing w:after="200"/>
        <w:jc w:val="both"/>
      </w:pPr>
      <w:r>
        <w:rPr>
          <w:rFonts w:ascii="Calibri" w:cs="Calibri" w:eastAsia="Calibri" w:hAnsi="Calibri"/>
          <w:sz w:val="22"/>
          <w:szCs w:val="22"/>
        </w:rPr>
        <w:t xml:space="preserve">Finally, there is a risk that this kind of feature could actively work against its own stated goal: a label suggesting that a given gym is predominantly a particular demographic can just as easily make members of other groups feel unwelcome or unsafe as it can help someone find comfort, and the app would have limited ability to control how such a label gets used or interpreted once it is visible to users, including by people using the app in bad faith.</w:t>
      </w:r>
    </w:p>
    <w:p>
      <w:pPr>
        <w:pStyle w:val="Heading3"/>
        <w:spacing w:after="120" w:before="260"/>
      </w:pPr>
      <w:r>
        <w:t xml:space="preserve">1.6.3 Recommended Framing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9EEF7" w:val="clear"/>
            <w:tcMar>
              <w:top w:type="dxa" w:w="180"/>
              <w:left w:type="dxa" w:w="220"/>
              <w:bottom w:type="dxa" w:w="180"/>
              <w:right w:type="dxa" w:w="220"/>
            </w:tcMar>
          </w:tcPr>
          <w:p>
            <w:pPr>
              <w:spacing w:after="80"/>
            </w:pPr>
            <w:r>
              <w:rPr>
                <w:rFonts w:ascii="Calibri" w:cs="Calibri" w:eastAsia="Calibri" w:hAnsi="Calibri"/>
                <w:b/>
                <w:bCs/>
                <w:sz w:val="22"/>
                <w:szCs w:val="22"/>
              </w:rPr>
              <w:t xml:space="preserve">Recommendation</w:t>
            </w:r>
          </w:p>
          <w:p>
            <w:r>
              <w:rPr>
                <w:rFonts w:ascii="Calibri" w:cs="Calibri" w:eastAsia="Calibri" w:hAnsi="Calibri"/>
                <w:sz w:val="22"/>
                <w:szCs w:val="22"/>
              </w:rPr>
              <w:t xml:space="preserve">The conclusion reached was to implement this entire category of feature strictly as a self-reported, opt-in amenity and atmosphere layer — gyms and the user community describing features and atmosphere in their own words or through structured but non-demographic tags — rather than building any system that classifies, infers, or tracks who is present at a given location. This framing still addresses the genuine underlying need many users have (wanting to know whether they will feel comfortable somewhere) without taking on the substantial legal and ethical risk of the app itself functioning as a demographic-sorting tool for real people.</w:t>
            </w:r>
          </w:p>
        </w:tc>
      </w:tr>
    </w:tbl>
    <w:p>
      <w:pPr>
        <w:pStyle w:val="Heading1"/>
        <w:pageBreakBefore/>
        <w:spacing w:after="220" w:before="480"/>
      </w:pPr>
      <w:r>
        <w:t xml:space="preserve">Part II — Legal Considerations</w:t>
      </w:r>
    </w:p>
    <w:p>
      <w:pPr>
        <w:spacing w:after="200"/>
        <w:jc w:val="both"/>
      </w:pPr>
      <w:r>
        <w:rPr>
          <w:rFonts w:ascii="Calibri" w:cs="Calibri" w:eastAsia="Calibri" w:hAnsi="Calibri"/>
          <w:sz w:val="22"/>
          <w:szCs w:val="22"/>
        </w:rPr>
        <w:t xml:space="preserve">The following legal considerations were discussed for GymFinder Canada. None of this constitutes legal advice; it reflects general, publicly available legal information relevant to a Canada-based, user-generated-content application of this kind, and a qualified lawyer should be consulted before any of these areas become operationally relevant — particularly once the application moves beyond local development and begins handling real user data or public content at any meaningful scale.</w:t>
      </w:r>
    </w:p>
    <w:p>
      <w:pPr>
        <w:pStyle w:val="Heading2"/>
        <w:spacing w:after="160" w:before="340"/>
      </w:pPr>
      <w:r>
        <w:t xml:space="preserve">2.1 Defamation Exposure from User-Generated Content</w:t>
      </w:r>
    </w:p>
    <w:p>
      <w:pPr>
        <w:spacing w:after="200"/>
        <w:jc w:val="both"/>
      </w:pPr>
      <w:r>
        <w:rPr>
          <w:rFonts w:ascii="Calibri" w:cs="Calibri" w:eastAsia="Calibri" w:hAnsi="Calibri"/>
          <w:sz w:val="22"/>
          <w:szCs w:val="22"/>
        </w:rPr>
        <w:t xml:space="preserve">This was identified as one of the more significant legal considerations for the project, primarily because Canada's legal environment on this specific issue differs meaningfully from the United States, and the difference works against, rather than in favor of, a platform hosting user content. In the United States, Section 230 of the Communications Decency Act provides broad immunity to online platforms for content posted by their users, meaning that in most circumstances a platform cannot be treated as the “publisher or speaker” of something a user wrote, even if that content is defamatory. Canada has no equivalent legislation providing this kind of broad statutory immunity.</w:t>
      </w:r>
    </w:p>
    <w:p>
      <w:pPr>
        <w:spacing w:after="200"/>
        <w:jc w:val="both"/>
      </w:pPr>
      <w:r>
        <w:rPr>
          <w:rFonts w:ascii="Calibri" w:cs="Calibri" w:eastAsia="Calibri" w:hAnsi="Calibri"/>
          <w:sz w:val="22"/>
          <w:szCs w:val="22"/>
        </w:rPr>
        <w:t xml:space="preserve">There was some expectation, following Canada's ratification of the Canada-United States-Mexico Agreement (CUSMA, sometimes referred to as NAFTA 2.0) in 2020, that Article 19.17 of that agreement — which requires each signatory country to maintain legal rules resembling Section 230 — might import Section-230-style protection into Canadian law. In practice, Canadian courts have interpreted this obligation narrowly, and Canadian case law has continued to diverge meaningfully from the American approach. Canadian defamation law instead relies on a common-law defense known as “innocent dissemination”: a platform that had no actual knowledge that particular content was defamatory, and that exercised reasonable care in its operations, has some degree of protection from liability for that content. Critically, however, this protection weakens substantially, and in practice largely disappears, once the platform has been notified of the specific content and its allegedly defamatory nature.</w:t>
      </w:r>
    </w:p>
    <w:p>
      <w:pPr>
        <w:spacing w:after="200"/>
        <w:jc w:val="both"/>
      </w:pPr>
      <w:r>
        <w:rPr>
          <w:rFonts w:ascii="Calibri" w:cs="Calibri" w:eastAsia="Calibri" w:hAnsi="Calibri"/>
          <w:sz w:val="22"/>
          <w:szCs w:val="22"/>
        </w:rPr>
        <w:t xml:space="preserve">This distinction was illustrated by a real Canadian case involving Twitter Canada, in which a court allowed a defamation claim to proceed to the merits specifically because the allegedly defamatory tweets had already been brought to Twitter Canada's attention and the platform had not acted on that notice, combined with the fact that the plaintiff had a significant reputation in British Columbia (establishing the Canadian court's jurisdiction over the matter). The practical lesson drawn from this case for GymFinder Canada is that the greatest legal risk is not simply hosting a false or damaging review — which carries some baseline protection under innocent dissemination — but rather being made aware of a specific piece of false or damaging content through a report or complaint, and then failing to act on that notice within a reasonable period.</w:t>
      </w:r>
    </w:p>
    <w:p>
      <w:pPr>
        <w:spacing w:after="200"/>
        <w:jc w:val="both"/>
      </w:pPr>
      <w:r>
        <w:rPr>
          <w:rFonts w:ascii="Calibri" w:cs="Calibri" w:eastAsia="Calibri" w:hAnsi="Calibri"/>
          <w:sz w:val="22"/>
          <w:szCs w:val="22"/>
        </w:rPr>
        <w:t xml:space="preserve">Defamation law in Canada also differs from the United States in that it falls under provincial rather than federal jurisdiction, meaning the specific application of these principles can vary somewhat from province to province, and in that Canadian law generally does not draw the same sharp distinction between public and private figures that American defamation law does when determining the standard a plaintiff must meet, nor does it uniformly require proof of “actual malice” the way many American public-figure defamation claims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Practical Implication</w:t>
            </w:r>
          </w:p>
          <w:p>
            <w:r>
              <w:rPr>
                <w:rFonts w:ascii="Calibri" w:cs="Calibri" w:eastAsia="Calibri" w:hAnsi="Calibri"/>
                <w:sz w:val="22"/>
                <w:szCs w:val="22"/>
              </w:rPr>
              <w:t xml:space="preserve">The single highest-leverage mitigation identified for this risk is building a functioning “report this review” or “flag this content” mechanism early in the project's life, and then actually acting on reports that come in — removing or reviewing flagged content within a reasonable timeframe rather than leaving it up indefinitely once notified. This single feature does the great majority of the risk-reduction work available here, because the core legal exposure specifically attaches to knowledge plus inaction, not to the mere presence of user-generated content on the platform.</w:t>
            </w:r>
          </w:p>
        </w:tc>
      </w:tr>
    </w:tbl>
    <w:p>
      <w:pPr>
        <w:pStyle w:val="Heading2"/>
        <w:spacing w:after="160" w:before="340"/>
      </w:pPr>
      <w:r>
        <w:t xml:space="preserve">2.2 OpenStreetMap Data Licensing (the Open Database License, or ODbL)</w:t>
      </w:r>
    </w:p>
    <w:p>
      <w:pPr>
        <w:spacing w:after="200"/>
        <w:jc w:val="both"/>
      </w:pPr>
      <w:r>
        <w:rPr>
          <w:rFonts w:ascii="Calibri" w:cs="Calibri" w:eastAsia="Calibri" w:hAnsi="Calibri"/>
          <w:sz w:val="22"/>
          <w:szCs w:val="22"/>
        </w:rPr>
        <w:t xml:space="preserve">GymFinder Canada's baseline gym location data is sourced from OpenStreetMap, a free, crowdsourced, community-maintained map database, queried through its public Overpass API. OpenStreetMap's underlying data is distributed under the Open Database License, version 1.0, commonly abbreviated ODbL, and understanding the specific obligations this license creates is necessary for using this data source in any application intended for real users, even though those obligations turn out to be straightforward to satisfy.</w:t>
      </w:r>
    </w:p>
    <w:p>
      <w:pPr>
        <w:spacing w:after="200"/>
        <w:jc w:val="both"/>
      </w:pPr>
      <w:r>
        <w:rPr>
          <w:rFonts w:ascii="Calibri" w:cs="Calibri" w:eastAsia="Calibri" w:hAnsi="Calibri"/>
          <w:sz w:val="22"/>
          <w:szCs w:val="22"/>
        </w:rPr>
        <w:t xml:space="preserve">The ODbL's core requirement is attribution: any public use of the data must include a notice “reasonably calculated to make any person that uses, views, accesses, interacts with, or is otherwise exposed to” the resulting work aware that the underlying content was obtained from OpenStreetMap. In practice, the OpenStreetMap Foundation's published guidance treats a visible credit line — commonly the text “© OpenStreetMap contributors” — placed somewhere a user is likely to see it (a footer, an information icon, an about or credits page) as sufficient, provided it is not buried somewhere a typical user would be unlikely to find or notice it, such as deep within a lengthy terms-of-service document that most users never read. The attribution text is expected to be, or to link to, information about the ODbL itself, which is typically satisfied by linking the credit text to openstreetmap.org/copyright, a page the OpenStreetMap Foundation maintains specifically for this purpose.</w:t>
      </w:r>
    </w:p>
    <w:p>
      <w:pPr>
        <w:spacing w:after="200"/>
        <w:jc w:val="both"/>
      </w:pPr>
      <w:r>
        <w:rPr>
          <w:rFonts w:ascii="Calibri" w:cs="Calibri" w:eastAsia="Calibri" w:hAnsi="Calibri"/>
          <w:sz w:val="22"/>
          <w:szCs w:val="22"/>
        </w:rPr>
        <w:t xml:space="preserve">A more nuanced aspect of the ODbL concerns the distinction it draws between what it calls a “Produced Work” and a “Derivative Database.” A Derivative Database is one that substantially reproduces or extracts the underlying OpenStreetMap database itself as a database — that is, individually accessible records derived from OSM's own data — and if such a database is published or distributed to others, the ODbL's “share-alike” provision requires that derivative database to be made available under the same ODbL terms. A Produced Work, by contrast, is the output of using the data for some purpose — a rendered map, a search result, an application interface — without republishing the underlying database itself as a database that others could extract and reuse independently. GymFinder Canada's use of OpenStreetMap data, as currently designed, constitutes a Produced Work: the application uses OSM data to power search and display functionality for its own users, but does not republish or distribute the underlying dataset itself as a downloadable or independently extractable database to third parties. This means the share-alike obligation does not currently apply, and the only active obligation is the attribution requirement described above. This assessment would need to be revisited if the project's design changed to include, for example, offering the underlying gym-location dataset itself for bulk download or resale, which would shift the relevant output from a Produced Work into a Derivative Database and trigger the additional share-alike requirement.</w:t>
      </w:r>
    </w:p>
    <w:p>
      <w:pPr>
        <w:pStyle w:val="Heading2"/>
        <w:spacing w:after="160" w:before="340"/>
      </w:pPr>
      <w:r>
        <w:t xml:space="preserve">2.3 Third-Party API Terms of Service (Reddit)</w:t>
      </w:r>
    </w:p>
    <w:p>
      <w:pPr>
        <w:spacing w:after="200"/>
        <w:jc w:val="both"/>
      </w:pPr>
      <w:r>
        <w:rPr>
          <w:rFonts w:ascii="Calibri" w:cs="Calibri" w:eastAsia="Calibri" w:hAnsi="Calibri"/>
          <w:sz w:val="22"/>
          <w:szCs w:val="22"/>
        </w:rPr>
        <w:t xml:space="preserve">The project's design includes the possibility of enriching gym equipment data by searching Reddit posts and comments for mentions of a gym alongside mentions of specific equipment, using Reddit's official Data API accessed through the PRAW Python library, rather than through direct scraping of Reddit's website (which Reddit actively and aggressively blocks through CAPTCHAs, IP bans, and rate limiting, and which would in any case conflict with Reddit's terms of service). Reddit's official API access terms have changed substantially since 2023, when Reddit introduced significant new pricing and restrictions that resulted in the shutdown of several major third-party Reddit client applications, and the current terms as of 2026 carry several specific implications for this project.</w:t>
      </w:r>
    </w:p>
    <w:p>
      <w:pPr>
        <w:spacing w:after="200"/>
        <w:jc w:val="both"/>
      </w:pPr>
      <w:r>
        <w:rPr>
          <w:rFonts w:ascii="Calibri" w:cs="Calibri" w:eastAsia="Calibri" w:hAnsi="Calibri"/>
          <w:sz w:val="22"/>
          <w:szCs w:val="22"/>
        </w:rPr>
        <w:t xml:space="preserve">A free tier does still exist and remains usable for non-commercial purposes, generally understood to include personal projects, hobbyist tools, and research use, with a rate limit of approximately one hundred queries per minute per registered OAuth application client, averaged over a rolling window rather than enforced as a hard per-second ceiling, meaning short bursts above that average rate are tolerated as long as the average stays within limits. However, Reddit has introduced a requirement, under what it terms its Responsible Builder Policy, that developers must request and receive explicit approval before pulling data at all, even at the free, non-commercial tier — access is no longer simply a matter of registering an application and beginning to make requests, as it may have been in earlier years.</w:t>
      </w:r>
    </w:p>
    <w:p>
      <w:pPr>
        <w:spacing w:after="200"/>
        <w:jc w:val="both"/>
      </w:pPr>
      <w:r>
        <w:rPr>
          <w:rFonts w:ascii="Calibri" w:cs="Calibri" w:eastAsia="Calibri" w:hAnsi="Calibri"/>
          <w:sz w:val="22"/>
          <w:szCs w:val="22"/>
        </w:rPr>
        <w:t xml:space="preserve">A specific data-handling obligation worth noting is what is commonly referred to as the forty-eight-hour deletion rule: Reddit's Data API terms require that if a user deletes their own post or comment, or if a moderator removes content, any cached or stored copy of that content held by a third-party application must be deleted as well, and Reddit's own guidance recommends routinely purging stored Reddit-sourced content and data within forty-eight hours as a general practice. This means any design that caches Reddit-derived equipment suggestions in GymFinder Canada's own database needs an active synchronization-and-purge process that respects deletions and removals happening on Reddit's side, rather than a one-time import that is retained indefinitely.</w:t>
      </w:r>
    </w:p>
    <w:p>
      <w:pPr>
        <w:spacing w:after="200"/>
        <w:jc w:val="both"/>
      </w:pPr>
      <w:r>
        <w:rPr>
          <w:rFonts w:ascii="Calibri" w:cs="Calibri" w:eastAsia="Calibri" w:hAnsi="Calibri"/>
          <w:sz w:val="22"/>
          <w:szCs w:val="22"/>
        </w:rPr>
        <w:t xml:space="preserve">Reddit's terms also explicitly prohibit using Reddit content to train machine learning models without a separate, specifically negotiated data licensing agreement; Reddit has pursued paid licensing arrangements with major AI companies on precisely this basis, reportedly including a deal with Google reported to be worth tens of millions of dollars annually. This restriction is not directly relevant to the project's current design, which does not involve model training, but is worth keeping in mind if any future feature involving automated pattern-matching or classification of Reddit content were to be considered, since simple text search and keyword matching (the currently discussed approach) is a meaningfully different activity from model training and is not restricted in the same way.</w:t>
      </w:r>
    </w:p>
    <w:p>
      <w:pPr>
        <w:spacing w:after="200"/>
        <w:jc w:val="both"/>
      </w:pPr>
      <w:r>
        <w:rPr>
          <w:rFonts w:ascii="Calibri" w:cs="Calibri" w:eastAsia="Calibri" w:hAnsi="Calibri"/>
          <w:sz w:val="22"/>
          <w:szCs w:val="22"/>
        </w:rPr>
        <w:t xml:space="preserve">Finally, the moment any use of the Reddit API shifts from non-commercial to commercial — which could include monetization through advertising, paid subscription tiers, or selling any data derived from the platform — the free tier ceases to be available entirely, and commercial access requires a specifically negotiated, paid agreement, reportedly starting in the range of several thousand to low five figures of dollars per month depending on volume and terms, along with a manual approval process that can take several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Practical Implication</w:t>
            </w:r>
          </w:p>
          <w:p>
            <w:r>
              <w:rPr>
                <w:rFonts w:ascii="Calibri" w:cs="Calibri" w:eastAsia="Calibri" w:hAnsi="Calibri"/>
                <w:sz w:val="22"/>
                <w:szCs w:val="22"/>
              </w:rPr>
              <w:t xml:space="preserve">The Reddit-enrichment feature is workable and appropriately scoped for the project's current personal, non-commercial, local-development state. It is, however, the single component of the technology stack most likely to become a genuine cost or access obstacle if the project is ever monetized in any way, and for that reason it was discussed as something that should remain a supplementary, optional enhancement to the core equipment-confirmation system rather than a feature the core product depends on — the application should continue to function correctly, using only user-submitted and OpenStreetMap-sourced data, if Reddit access were ever lost, restricted, or priced out of reach.</w:t>
            </w:r>
          </w:p>
        </w:tc>
      </w:tr>
    </w:tbl>
    <w:p>
      <w:pPr>
        <w:pStyle w:val="Heading2"/>
        <w:spacing w:after="160" w:before="340"/>
      </w:pPr>
      <w:r>
        <w:t xml:space="preserve">2.4 Trademark Use of Real Gym Brand Names</w:t>
      </w:r>
    </w:p>
    <w:p>
      <w:pPr>
        <w:spacing w:after="200"/>
        <w:jc w:val="both"/>
      </w:pPr>
      <w:r>
        <w:rPr>
          <w:rFonts w:ascii="Calibri" w:cs="Calibri" w:eastAsia="Calibri" w:hAnsi="Calibri"/>
          <w:sz w:val="22"/>
          <w:szCs w:val="22"/>
        </w:rPr>
        <w:t xml:space="preserve">Because the application is explicitly designed to reference real, named gym businesses — GoodLife Fitness, Planet Fitness, and any other real chain or independent gym — the question of trademark exposure was discussed. The relevant legal concept here is what is generally referred to as nominative fair use: the principle that referring to a real business, product, or brand by its actual name, for the purpose of identifying that real business, product, or brand, is a permitted use of the name and does not constitute trademark infringement, even without the trademark holder's permission. This is the same principle that allows a comparison review, a news article, or a map application to refer to a real company by name. GymFinder Canada referring to “GoodLife Fitness on Main Street” in order to identify a specific real gym location is squarely within this kind of permitted, purely identifying use of the name.</w:t>
      </w:r>
    </w:p>
    <w:p>
      <w:pPr>
        <w:spacing w:after="200"/>
        <w:jc w:val="both"/>
      </w:pPr>
      <w:r>
        <w:rPr>
          <w:rFonts w:ascii="Calibri" w:cs="Calibri" w:eastAsia="Calibri" w:hAnsi="Calibri"/>
          <w:sz w:val="22"/>
          <w:szCs w:val="22"/>
        </w:rPr>
        <w:t xml:space="preserve">The risk profile changes meaningfully, however, once the use moves beyond plain text naming into the reproduction of a brand's actual visual trademark assets — its logo, specific brand colors used in a way that mimics official branding, or other proprietary visual identity elements — without a license or permission to do so. Using such assets crosses from simply identifying a real business by name into using that business's protected intellectual property, which is a meaningfully higher-risk activity that nominative fair use does not straightforwardly cover in the same way it covers plain-text naming. A related risk, distinct from direct trademark reproduction, is creating any impression — through design, wording, or presentation — that a given gym brand has endorsed, partnered with, or officially authorized the application, when no such relationship exists; this kind of implied endorsement or affiliation is a separate legal concern from trademark reproduction itself and should be avoided regardless of whether any logos are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Practical Implication</w:t>
            </w:r>
          </w:p>
          <w:p>
            <w:r>
              <w:rPr>
                <w:rFonts w:ascii="Calibri" w:cs="Calibri" w:eastAsia="Calibri" w:hAnsi="Calibri"/>
                <w:sz w:val="22"/>
                <w:szCs w:val="22"/>
              </w:rPr>
              <w:t xml:space="preserve">The recommended approach is to reference gym brands and locations using plain text names only, and to avoid incorporating any brand's actual logo artwork or distinctive brand color schemes into the application's own design, instead using the application's own independent, consistent visual identity to represent all gyms and brands equally within the interface.</w:t>
            </w:r>
          </w:p>
        </w:tc>
      </w:tr>
    </w:tbl>
    <w:p>
      <w:pPr>
        <w:pStyle w:val="Heading2"/>
        <w:spacing w:after="160" w:before="340"/>
      </w:pPr>
      <w:r>
        <w:t xml:space="preserve">2.5 Privacy Law: PIPEDA and Provincial Equivalents</w:t>
      </w:r>
    </w:p>
    <w:p>
      <w:pPr>
        <w:spacing w:after="200"/>
        <w:jc w:val="both"/>
      </w:pPr>
      <w:r>
        <w:rPr>
          <w:rFonts w:ascii="Calibri" w:cs="Calibri" w:eastAsia="Calibri" w:hAnsi="Calibri"/>
          <w:sz w:val="22"/>
          <w:szCs w:val="22"/>
        </w:rPr>
        <w:t xml:space="preserve">The Personal Information Protection and Electronic Documents Act, commonly abbreviated PIPEDA, is Canada's federal privacy law governing private-sector organizations, and it applies to organizations that collect, use, or disclose personal information in the course of commercial activity. Although GymFinder Canada in its current, local-development form does not yet collect any real user data, the design as discussed — involving user accounts, submitted reviews and machine confirmations, and location-based search — would, once deployed for real users, constitute exactly the kind of personal-information handling PIPEDA is intended to govern, particularly once any element of commercial activity is present.</w:t>
      </w:r>
    </w:p>
    <w:p>
      <w:pPr>
        <w:spacing w:after="200"/>
        <w:jc w:val="both"/>
      </w:pPr>
      <w:r>
        <w:rPr>
          <w:rFonts w:ascii="Calibri" w:cs="Calibri" w:eastAsia="Calibri" w:hAnsi="Calibri"/>
          <w:sz w:val="22"/>
          <w:szCs w:val="22"/>
        </w:rPr>
        <w:t xml:space="preserve">PIPEDA is built around a set of ten fair information principles, and several of the most operationally significant for a project of this kind were discussed specifically. First, meaningful consent must be obtained before personal information is collected, and for consent to be considered meaningful under PIPEDA and the guidance published by the Office of the Privacy Commissioner of Canada, individuals must be given a clear, comprehensible explanation of what is being collected, why, and what the consequences and risks of that collection are, in plain language, at or before the time of collection — not buried in a lengthy, legally dense terms-of-service document that a typical user would not realistically read or understand. Second, the principle of limiting collection requires that an organization only collect the personal information actually necessary for the identified purposes, rather than collecting broadly on the chance that data might become useful later. Third, individuals must be given a reasonable ability to access, correct, and request deletion of their own personal information held by the organization. Fourth, the organization is required to maintain reasonable security safeguards appropriate to the sensitivity of the information being protected.</w:t>
      </w:r>
    </w:p>
    <w:p>
      <w:pPr>
        <w:spacing w:after="200"/>
        <w:jc w:val="both"/>
      </w:pPr>
      <w:r>
        <w:rPr>
          <w:rFonts w:ascii="Calibri" w:cs="Calibri" w:eastAsia="Calibri" w:hAnsi="Calibri"/>
          <w:sz w:val="22"/>
          <w:szCs w:val="22"/>
        </w:rPr>
        <w:t xml:space="preserve">The Office of the Privacy Commissioner of Canada's guidance on meaningful consent specifically calls out that individuals must be made clearly aware of the potential consequences of a collection, use, or disclosure, including any residual risk of harm that remains even after an organization has taken reasonable steps to mitigate that risk — meaning a privacy notice cannot simply describe what data is collected in the abstract, but should give the user a genuine, practical understanding of what could happen as a result.</w:t>
      </w:r>
    </w:p>
    <w:p>
      <w:pPr>
        <w:spacing w:after="200"/>
        <w:jc w:val="both"/>
      </w:pPr>
      <w:r>
        <w:rPr>
          <w:rFonts w:ascii="Calibri" w:cs="Calibri" w:eastAsia="Calibri" w:hAnsi="Calibri"/>
          <w:sz w:val="22"/>
          <w:szCs w:val="22"/>
        </w:rPr>
        <w:t xml:space="preserve">An important jurisdictional nuance discussed is that PIPEDA is a federal law, but Quebec, British Columbia, and Alberta each have their own privacy legislation that has been formally recognized as “substantially similar” to PIPEDA, and in those provinces the provincial law applies instead of PIPEDA for activity occurring within the province, with PIPEDA continuing to apply to interprovincial or international data flows and to federally regulated organizations regardless of province. Quebec's provincial privacy law, known as Law 25, was specifically noted as materially stricter than PIPEDA in some respects, including a requirement for formal privacy impact assessments in certain circumstances and generally more stringent consent standards. This means that if GymFinder Canada's eventual user base includes a meaningful proportion of Quebec residents, its privacy practices would need to be evaluated specifically against Law 25's requirements in addition to PIPEDA's, rather than assuming PIPEDA compliance alone is sufficient nationwide.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Practical Implication</w:t>
            </w:r>
          </w:p>
          <w:p>
            <w:r>
              <w:rPr>
                <w:rFonts w:ascii="Calibri" w:cs="Calibri" w:eastAsia="Calibri" w:hAnsi="Calibri"/>
                <w:sz w:val="22"/>
                <w:szCs w:val="22"/>
              </w:rPr>
              <w:t xml:space="preserve">None of this represents a barrier to building or testing the application in its current local, non-commercial development state. It does mean that before the application is opened to real users with real accounts, a genuine, plainly written privacy policy should be drafted describing what is collected and why, data collection should be limited to what each specific feature actually requires, and — if the user base is expected to include a significant Quebec population — Law 25's additional requirements should be reviewed specifically rather than assumed to be covered by general PIPEDA compliance.</w:t>
            </w:r>
          </w:p>
        </w:tc>
      </w:tr>
    </w:tbl>
    <w:p>
      <w:pPr>
        <w:pStyle w:val="Heading2"/>
        <w:spacing w:after="160" w:before="340"/>
      </w:pPr>
      <w:r>
        <w:t xml:space="preserve">2.6 Accessibility Law: The Accessibility for Ontarians with Disabilities Act (AODA)</w:t>
      </w:r>
    </w:p>
    <w:p>
      <w:pPr>
        <w:spacing w:after="200"/>
        <w:jc w:val="both"/>
      </w:pPr>
      <w:r>
        <w:rPr>
          <w:rFonts w:ascii="Calibri" w:cs="Calibri" w:eastAsia="Calibri" w:hAnsi="Calibri"/>
          <w:sz w:val="22"/>
          <w:szCs w:val="22"/>
        </w:rPr>
        <w:t xml:space="preserve">The Accessibility for Ontarians with Disabilities Act, commonly abbreviated AODA, is Ontario provincial legislation requiring organizations to identify, remove, and prevent barriers to accessibility, including barriers in digital products such as websites and web applications, so that people with disabilities have equal access to goods, services, and information. Because this legislation's obligations scale specifically with an organization's number of employees, its practical relevance to GymFinder Canada depends heavily on the project's current and future organizational structure.</w:t>
      </w:r>
    </w:p>
    <w:p>
      <w:pPr>
        <w:spacing w:after="200"/>
        <w:jc w:val="both"/>
      </w:pPr>
      <w:r>
        <w:rPr>
          <w:rFonts w:ascii="Calibri" w:cs="Calibri" w:eastAsia="Calibri" w:hAnsi="Calibri"/>
          <w:sz w:val="22"/>
          <w:szCs w:val="22"/>
        </w:rPr>
        <w:t xml:space="preserve">The specific thresholds discussed are as follows. Organizations that are self-employed with no employees are exempt from AODA entirely. Organizations with one or more employees are required to comply with the Act's core standards, including its customer service and information-and-communications standards, but are not yet subject to formal reporting requirements. Organizations with twenty or more employees must additionally file a formal accessibility compliance report confirming their compliance, on a recurring filing cycle. Organizations with fifty or more employees face the most substantial obligations, including a requirement that public-facing websites and web content conform to the Web Content Accessibility Guidelines, specifically WCAG 2.0 at conformance Level AA, along with a requirement to maintain a written, multi-year accessibility plan and to provide accessibility-related training to staff, directors, volunteers, and contractors. Non-compliance at this scale can carry substantial financial penalties — published maximums of fifty thousand dollars per day for an individual or unincorporated organization and one hundred thousand dollars per day for a corporation — though in practice regulatory enforcement typically proceeds through compliance orders before escalating to financial penalties, rather than fines being the immediate first response to non-compliance.</w:t>
      </w:r>
    </w:p>
    <w:p>
      <w:pPr>
        <w:spacing w:after="200"/>
        <w:jc w:val="both"/>
      </w:pPr>
      <w:r>
        <w:rPr>
          <w:rFonts w:ascii="Calibri" w:cs="Calibri" w:eastAsia="Calibri" w:hAnsi="Calibri"/>
          <w:sz w:val="22"/>
          <w:szCs w:val="22"/>
        </w:rPr>
        <w:t xml:space="preserve">Given that GymFinder Canada is currently a solo development project with no employees, it currently falls within the explicit self-employed exemption and is not legally bound by any AODA obligation at this time. This status would change if and when the project were to bring on any employees, with obligations scaling progressively as described above as headcount grows, and the strict WCAG 2.0 AA website conformance requirement specifically would only become a binding legal obligation upon reaching the fifty-employee threshold.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D6" w:val="clear"/>
            <w:tcMar>
              <w:top w:type="dxa" w:w="180"/>
              <w:left w:type="dxa" w:w="220"/>
              <w:bottom w:type="dxa" w:w="180"/>
              <w:right w:type="dxa" w:w="220"/>
            </w:tcMar>
          </w:tcPr>
          <w:p>
            <w:pPr>
              <w:spacing w:after="80"/>
            </w:pPr>
            <w:r>
              <w:rPr>
                <w:rFonts w:ascii="Calibri" w:cs="Calibri" w:eastAsia="Calibri" w:hAnsi="Calibri"/>
                <w:b/>
                <w:bCs/>
                <w:sz w:val="22"/>
                <w:szCs w:val="22"/>
              </w:rPr>
              <w:t xml:space="preserve">Practical Implication</w:t>
            </w:r>
          </w:p>
          <w:p>
            <w:r>
              <w:rPr>
                <w:rFonts w:ascii="Calibri" w:cs="Calibri" w:eastAsia="Calibri" w:hAnsi="Calibri"/>
                <w:sz w:val="22"/>
                <w:szCs w:val="22"/>
              </w:rPr>
              <w:t xml:space="preserve">While AODA compliance is not currently a legal requirement for this project, building basic accessibility practices into the application from the outset — adequate color contrast, meaningful alternative text for images, full keyboard navigability, and compatibility with screen readers — remains good practice independent of any legal obligation, both because it broadens the application's usable audience immediately and because retrofitting accessibility into an application after it has already been built is substantially more effort than designing with it in mind from the start, should the project ever grow to a size where AODA's requirements do become legally binding.</w:t>
            </w:r>
          </w:p>
        </w:tc>
      </w:tr>
    </w:tbl>
    <w:p>
      <w:pPr>
        <w:pStyle w:val="Heading1"/>
        <w:pageBreakBefore/>
        <w:spacing w:after="220" w:before="480"/>
      </w:pPr>
      <w:r>
        <w:t xml:space="preserve">Part III — Cybersecurity Considerations</w:t>
      </w:r>
    </w:p>
    <w:p>
      <w:pPr>
        <w:spacing w:after="200"/>
        <w:jc w:val="both"/>
      </w:pPr>
      <w:r>
        <w:rPr>
          <w:rFonts w:ascii="Calibri" w:cs="Calibri" w:eastAsia="Calibri" w:hAnsi="Calibri"/>
          <w:sz w:val="22"/>
          <w:szCs w:val="22"/>
        </w:rPr>
        <w:t xml:space="preserve">This section catalogs the cybersecurity considerations discussed for GymFinder Canada, organized by category, followed by a dedicated discussion of a specific, unifying security principle raised in relation to a set of three common real-world security mistakes. Several categories below are not yet operationally relevant to the project's current state (Sprint 1, involving only automated fetching of public map data with no user accounts or forms) but become directly relevant as soon as user accounts, reviews, and machine confirmations are introduced, which the project's design roadmap places in later stages of development. Each is included here regardless of current relevance, since the request was for an exhaustive accounting of the concerns discussed rather than only those immediately applicable.</w:t>
      </w:r>
    </w:p>
    <w:p>
      <w:pPr>
        <w:pStyle w:val="Heading2"/>
        <w:spacing w:after="160" w:before="340"/>
      </w:pPr>
      <w:r>
        <w:t xml:space="preserve">3.1 Authentication and Account Security</w:t>
      </w:r>
    </w:p>
    <w:p>
      <w:pPr>
        <w:spacing w:after="200"/>
        <w:jc w:val="both"/>
      </w:pPr>
      <w:r>
        <w:rPr>
          <w:rFonts w:ascii="Calibri" w:cs="Calibri" w:eastAsia="Calibri" w:hAnsi="Calibri"/>
          <w:sz w:val="22"/>
          <w:szCs w:val="22"/>
        </w:rPr>
        <w:t xml:space="preserve">Once the application introduces real user accounts, a cluster of authentication-related risks becomes relevant. Passwords must never be stored in plain text or with fast, general-purpose hashing algorithms such as MD5 or SHA1; they must instead be hashed using a slow, purpose-built password-hashing algorithm such as bcrypt or argon2, specifically designed to make brute-force password-guessing computationally expensive even if the underlying password database is ever stolen. Without rate limiting on login attempts, an attacker can attempt to guess a user's password through repeated automated attempts (a brute-force attack) without being slowed down or blocked. Session tokens — the credentials that keep a user logged in between requests after their initial login — are vulnerable to fixation and hijacking attacks if they are not regenerated at the moment of login and properly invalidated at logout, since a token that persists unchanged across the login boundary can potentially be captured and reused by an attacker. Password-reset (“forgot password”) flows carry their own distinct risks if reset tokens are predictable rather than cryptographically random, or if reset links do not expire after a short window, since either flaw would allow an attacker to hijack an account through the reset mechanism itself rather than needing to guess the original password. The absence of account lockout policies or anomaly detection leaves an application vulnerable to credential-stuffing attacks, in which an attacker takes lists of username-and-password combinations leaked from breaches of other, unrelated services and automatically tries them against this application, relying on the common human tendency to reuse passwords across multiple services. Finally, “remember me” style persistent login tokens, if long-lived and never rotated, represent an extended window of vulnerability, since a single leaked long-lived token grants an attacker extended access rather than access limited to a short session window.</w:t>
      </w:r>
    </w:p>
    <w:p>
      <w:pPr>
        <w:pStyle w:val="Heading2"/>
        <w:spacing w:after="160" w:before="340"/>
      </w:pPr>
      <w:r>
        <w:t xml:space="preserve">3.2 Input Validation and Injection Attacks</w:t>
      </w:r>
    </w:p>
    <w:p>
      <w:pPr>
        <w:spacing w:after="200"/>
        <w:jc w:val="both"/>
      </w:pPr>
      <w:r>
        <w:rPr>
          <w:rFonts w:ascii="Calibri" w:cs="Calibri" w:eastAsia="Calibri" w:hAnsi="Calibri"/>
          <w:sz w:val="22"/>
          <w:szCs w:val="22"/>
        </w:rPr>
        <w:t xml:space="preserve">SQL injection — a technique in which an attacker crafts input designed to be interpreted as executable database commands rather than as ordinary data — is substantially mitigated in this project's current design by the use of SQLAlchemy as an object-relational mapper, which handles the safe construction of SQL queries rather than building them through direct string concatenation. This protection is not automatic in every case, however: any location in the codebase where a query or command string is built using an f-string or other direct string formatting technique reintroduces the underlying risk if that pattern is ever applied to a string built from user-supplied input, which is specifically worth flagging because the project's current Overpass API query-building function already uses exactly this f-string pattern, albeit currently only with developer-controlled input rather than end-user input.</w:t>
      </w:r>
    </w:p>
    <w:p>
      <w:pPr>
        <w:spacing w:after="200"/>
        <w:jc w:val="both"/>
      </w:pPr>
      <w:r>
        <w:rPr>
          <w:rFonts w:ascii="Calibri" w:cs="Calibri" w:eastAsia="Calibri" w:hAnsi="Calibri"/>
          <w:sz w:val="22"/>
          <w:szCs w:val="22"/>
        </w:rPr>
        <w:t xml:space="preserve">Cross-site scripting, commonly abbreviated XSS, becomes a risk once the application displays user-submitted content such as review text; if such content is ever rendered directly as raw HTML rather than being properly escaped as plain text, a malicious user could submit a review containing embedded script code that would then execute in the browser of any other user who views that review, potentially allowing the attacker to steal session information or perform actions on behalf of the viewing user. Cross-site request forgery, commonly abbreviated CSRF, becomes relevant once the application has forms or actions that change state on the server — submitting a review, confirming a machine, editing an account — and without specific CSRF protection built into those forms, a malicious external website could potentially trick a user who is currently logged into GymFinder Canada into unknowingly submitting an action through their own authenticated browser session, simply by visiting the malicious site while still logged in elsewhere. Unvalidated location or address input, submitted by a user for the purpose of calculating nearby gyms, could cause unexpected application errors or unpredictable downstream behavior if sent directly into the geocoding process without any validation or sanitization first.</w:t>
      </w:r>
    </w:p>
    <w:p>
      <w:pPr>
        <w:pStyle w:val="Heading2"/>
        <w:spacing w:after="160" w:before="340"/>
      </w:pPr>
      <w:r>
        <w:t xml:space="preserve">3.3 Authorization and Access Control</w:t>
      </w:r>
    </w:p>
    <w:p>
      <w:pPr>
        <w:spacing w:after="200"/>
        <w:jc w:val="both"/>
      </w:pPr>
      <w:r>
        <w:rPr>
          <w:rFonts w:ascii="Calibri" w:cs="Calibri" w:eastAsia="Calibri" w:hAnsi="Calibri"/>
          <w:sz w:val="22"/>
          <w:szCs w:val="22"/>
        </w:rPr>
        <w:t xml:space="preserve">A distinct category of risk from authentication (proving who a user is) concerns authorization (controlling what an authenticated user is permitted to do). Insecure direct object references, commonly abbreviated IDOR, describe a specific and common flaw in which an action such as editing a review is addressed through a predictable identifier, for example a URL such as slash-review-slash-edit-slash-42, without the server independently verifying that the currently authenticated user actually owns or has permission to modify the specific resource identified by that number. Without such a server-side ownership check on every edit or delete action, any authenticated user could potentially edit or delete any other user's content simply by changing the identifying number in the request, regardless of what the user interface itself displays or permits through its own buttons and links. A related concern is the boundary between ordinary user actions and any future administrative or moderation actions: if the application ever introduces moderator or administrator capabilities, it is essential that regular user accounts be actively prevented, at the server level, from reaching those administrative actions even if they were to directly guess or discover the relevant URLs or API endpoints, rather than relying on those actions simply not being linked to or visible in the ordinary user interface.</w:t>
      </w:r>
    </w:p>
    <w:p>
      <w:pPr>
        <w:pStyle w:val="Heading2"/>
        <w:spacing w:after="160" w:before="340"/>
      </w:pPr>
      <w:r>
        <w:t xml:space="preserve">3.4 Abuse of the Crowdsourcing Model Itself</w:t>
      </w:r>
    </w:p>
    <w:p>
      <w:pPr>
        <w:spacing w:after="200"/>
        <w:jc w:val="both"/>
      </w:pPr>
      <w:r>
        <w:rPr>
          <w:rFonts w:ascii="Calibri" w:cs="Calibri" w:eastAsia="Calibri" w:hAnsi="Calibri"/>
          <w:sz w:val="22"/>
          <w:szCs w:val="22"/>
        </w:rPr>
        <w:t xml:space="preserve">This category is specific to GymFinder Canada's particular design, since it concerns attacks not on the software infrastructure generally but on the core trust mechanism that the entire product depends on — the assumption that machine confirmations and reviews reflect genuine, independent observations by real people who were actually present at the gym in question. A Sybil attack, in this context, describes a single individual creating numerous fake accounts in order to artificially inflate, deflate, or fabricate confirmation counts for a particular gym's equipment, directly undermining the confirmation-count trust mechanism described in section 1.3. Review bombing describes a related but distinct pattern in which a coordinated group — which could include a gym's business competitor, or a group with some grievance against a specific location — mass-submits fake reviews, whether negative or, in principle, artificially positive, in order to manipulate the gym's displayed reputation rather than reflecting genuine visitor experiences. Automated bot signups, without friction such as a CAPTCHA or equivalent mechanism, could enable large-scale automated account creation for the purpose of posting spam content, links, or manipulating data at a volume and speed no individual human actor could achieve manually. Data poisoning, more broadly, describes the general category of any malicious confirmation of equipment that was never actually present at a given gym, which degrades the specific data trustworthiness that differentiates this application from a generic map or directory and therefore represents an attack directly on the product's core value proposition rather than merely a technical nuisance.</w:t>
      </w:r>
    </w:p>
    <w:p>
      <w:pPr>
        <w:pStyle w:val="Heading2"/>
        <w:spacing w:after="160" w:before="340"/>
      </w:pPr>
      <w:r>
        <w:t xml:space="preserve">3.5 Secrets and Credential Management</w:t>
      </w:r>
    </w:p>
    <w:p>
      <w:pPr>
        <w:spacing w:after="200"/>
        <w:jc w:val="both"/>
      </w:pPr>
      <w:r>
        <w:rPr>
          <w:rFonts w:ascii="Calibri" w:cs="Calibri" w:eastAsia="Calibri" w:hAnsi="Calibri"/>
          <w:sz w:val="22"/>
          <w:szCs w:val="22"/>
        </w:rPr>
        <w:t xml:space="preserve">Application programming interface keys — the credentials used to authenticate the application's own requests to services such as Reddit's API — represent a distinct category of risk if mishandled. A key accidentally committed to a version control system such as Git, particularly if that repository is or ever becomes public on a platform such as GitHub, is at severe risk, since automated bots are known to continuously scan public GitHub repositories specifically for accidentally exposed credentials and can discover and begin misusing a leaked key within minutes of it becoming publicly visible; this is mitigated by using environment variable files (such as a dot-env file) combined with a properly configured Git-ignore file to ensure such files are never committed, which the project's current setup already includes as a baseline protection. A related but distinct risk is secrets appearing in error messages or application logs — for example, an unhandled error that displays a full stack trace to an end user, or that writes one to a log file, could inadvertently reveal a database connection string, an API key, or other sensitive configuration detail embedded in that error output. Finally, using an API key with broader permissions than the application actually requires increases the potential damage if that specific key is ever compromised, since the blast radius of a leaked key is bounded by whatever that key is actually capable of doing.</w:t>
      </w:r>
    </w:p>
    <w:p>
      <w:pPr>
        <w:pStyle w:val="Heading2"/>
        <w:spacing w:after="160" w:before="340"/>
      </w:pPr>
      <w:r>
        <w:t xml:space="preserve">3.6 Third-Party Dependency Risk (Software Supply Chain)</w:t>
      </w:r>
    </w:p>
    <w:p>
      <w:pPr>
        <w:spacing w:after="200"/>
        <w:jc w:val="both"/>
      </w:pPr>
      <w:r>
        <w:rPr>
          <w:rFonts w:ascii="Calibri" w:cs="Calibri" w:eastAsia="Calibri" w:hAnsi="Calibri"/>
          <w:sz w:val="22"/>
          <w:szCs w:val="22"/>
        </w:rPr>
        <w:t xml:space="preserve">The project depends on a number of externally maintained open-source packages — SQLAlchemy, the requests library, Streamlit, geopy, PRAW, and others — and each of these carries some ongoing risk independent of anything specific to this project's own code. Packages occasionally have security vulnerabilities discovered and publicly disclosed after they are already in wide use, meaning a dependency considered safe at the time it was first installed may later be found to have a known vulnerability, which is generally mitigated by periodically checking installed package versions against known vulnerability databases, for example using a tool such as pip-audit, or simply reviewing outdated packages periodically. A distinct and more actively malicious risk is typosquatting, in which an attacker publishes a malicious package under a name deliberately similar to a popular legitimate package — for example, a package named to closely resemble “requests” but with a subtle misspelling — hoping that a developer will mistype the intended package name during installation and inadvertently install the malicious lookalike instead; this is mitigated simply by carefully double-checking package names before installation rather than typing them from memory or copying them from an unverified source. Finally, leaving dependency versions entirely unpinned in a requirements file means that a future installation of the project, potentially performed automatically or by a different developer, could silently pull in a newer version of a dependency that has since introduced either a breaking change or, in a worst case, a compromised release, rather than consistently installing the specific, previously verified version the project was actually built and tested against.</w:t>
      </w:r>
    </w:p>
    <w:p>
      <w:pPr>
        <w:pStyle w:val="Heading2"/>
        <w:spacing w:after="160" w:before="340"/>
      </w:pPr>
      <w:r>
        <w:t xml:space="preserve">3.7 Infrastructure and Deployment Security</w:t>
      </w:r>
    </w:p>
    <w:p>
      <w:pPr>
        <w:spacing w:after="200"/>
        <w:jc w:val="both"/>
      </w:pPr>
      <w:r>
        <w:rPr>
          <w:rFonts w:ascii="Calibri" w:cs="Calibri" w:eastAsia="Calibri" w:hAnsi="Calibri"/>
          <w:sz w:val="22"/>
          <w:szCs w:val="22"/>
        </w:rPr>
        <w:t xml:space="preserve">This category becomes directly relevant once the application moves beyond local development and is deployed somewhere accessible over the internet, even in an early or test capacity. Leaving a web framework's debug mode enabled in a production deployment is a common and serious mistake, since debug modes are specifically designed to reveal detailed internal information — including, in some frameworks, snippets of application source code and internal configuration — to help a developer diagnose an error during development, information that becomes a significant information-disclosure risk if it is ever exposed to the public internet rather than being restricted to a local development environment. Serving the application over plain HTTP rather than encrypted HTTPS means that any data transmitted between a user's browser and the server, potentially including login credentials, can be intercepted by anyone else with access to the same network, such as a shared public Wi-Fi network. Once the project moves from SQLite, a single local file, to a separately hosted database server (which would likely happen if the project scales beyond local development), that hosted database introduces its own risk if left with default or weak administrative credentials rather than being properly secured. Misconfigured Cross-Origin Resource Sharing, commonly abbreviated CORS, settings can allow a malicious website, visited by a victim who happens to also be logged into GymFinder Canada in another browser tab, to make authenticated requests to GymFinder Canada's backend on that victim's behalf without their knowledge, if the backend's CORS configuration is set more permissively than the application's actual needs require. If the SQLite database file itself, or any backup of it, is ever accidentally placed within a directory that is served publicly by the web server, the entirety of the application's stored data becomes directly downloadable by anyone who discovers or guesses its location, without needing to go through the application's own access controls at all. Finally, without any rate limiting on the application's own programming interface, an attacker could send a very high volume of automated requests either to systematically scrape and copy the entire contents of the database or simply to drive up the operational and hosting costs the application incurs, depending on how the hosting provider bills for usage.</w:t>
      </w:r>
    </w:p>
    <w:p>
      <w:pPr>
        <w:pStyle w:val="Heading2"/>
        <w:spacing w:after="160" w:before="340"/>
      </w:pPr>
      <w:r>
        <w:t xml:space="preserve">3.8 Privacy-Adjacent Security Issues</w:t>
      </w:r>
    </w:p>
    <w:p>
      <w:pPr>
        <w:spacing w:after="200"/>
        <w:jc w:val="both"/>
      </w:pPr>
      <w:r>
        <w:rPr>
          <w:rFonts w:ascii="Calibri" w:cs="Calibri" w:eastAsia="Calibri" w:hAnsi="Calibri"/>
          <w:sz w:val="22"/>
          <w:szCs w:val="22"/>
        </w:rPr>
        <w:t xml:space="preserve">Some considerations sit at the intersection of security practice and the privacy-law obligations discussed in Part II. Storing highly precise geographic coordinates of exactly where a user was located at the moment they performed a search, rather than only what a given feature genuinely requires, increases the potential harm to users in the event the underlying database is ever breached, since more precise stored location data is more sensitive and more damaging if exposed than a coarser or more transient equivalent would be. Separately, if the application ever integrates third-party analytics or tracking tools, care must be taken to ensure that personal information is not inadvertently forwarded to those third-party tools without the same disclosure and consent obligations discussed under PIPEDA in section 2.5 being satisfied for that onward transfer as well, since adding an analytics tool effectively adds a new party with access to user data, which itself needs to be accounted for in the application's privacy disclosures.</w:t>
      </w:r>
    </w:p>
    <w:p>
      <w:pPr>
        <w:pStyle w:val="Heading2"/>
        <w:spacing w:after="160" w:before="340"/>
      </w:pPr>
      <w:r>
        <w:t xml:space="preserve">3.9 Availability and Denial of Service</w:t>
      </w:r>
    </w:p>
    <w:p>
      <w:pPr>
        <w:spacing w:after="200"/>
        <w:jc w:val="both"/>
      </w:pPr>
      <w:r>
        <w:rPr>
          <w:rFonts w:ascii="Calibri" w:cs="Calibri" w:eastAsia="Calibri" w:hAnsi="Calibri"/>
          <w:sz w:val="22"/>
          <w:szCs w:val="22"/>
        </w:rPr>
        <w:t xml:space="preserve">Two related availability risks were discussed. First, any user-triggered action within the application that in turn fires off a large, slow, or resource-intensive call to an external service — for example, the Overpass API location fetch or a Reddit search — could potentially be abused by a malicious user deliberately triggering that action repeatedly and rapidly, tying up the application's own server resources handling those requests and their responses, and potentially exhausting whatever rate limit the application has been allotted by the external service, degrading the experience for all other legitimate users in the process. Second, the absence of any limit on the size of user-submitted content — for example, an extremely long review comment — submitted once or, worse, submitted repeatedly by an automated script, could bloat the application's database with excessive data volume or slow down queries that scan or search through that content, degrading overall application performance even without any single request being individually malicious in intent.</w:t>
      </w:r>
    </w:p>
    <w:p>
      <w:pPr>
        <w:pStyle w:val="Heading2"/>
        <w:spacing w:after="160" w:before="340"/>
      </w:pPr>
      <w:r>
        <w:t xml:space="preserve">3.10 The Core Unifying Principle: Never Trust the Client</w:t>
      </w:r>
    </w:p>
    <w:p>
      <w:pPr>
        <w:spacing w:after="200"/>
        <w:jc w:val="both"/>
      </w:pPr>
      <w:r>
        <w:rPr>
          <w:rFonts w:ascii="Calibri" w:cs="Calibri" w:eastAsia="Calibri" w:hAnsi="Calibri"/>
          <w:sz w:val="22"/>
          <w:szCs w:val="22"/>
        </w:rPr>
        <w:t xml:space="preserve">A specific, related set of three security mistakes was discussed as commonly seen in modern application development, particularly in applications built quickly using frontend-connected backend services such as Supabase or Firebase. Although GymFinder Canada's own technology stack differs from those specific platforms, all three mistakes were identified as reflecting a single, more general underlying principle that applies directly and specifically to this project's design: any rule intended to restrict what a user is able to do or see must be enforced by code running on the server, under the application's own control, and can never be relied upon if it exists only in code running on the user's own device, such as a web browser or a Streamlit frontend, because a sufficiently motivated user or attacker can always bypass client-side logic entirely by interacting with the server's programming interface directly — for example using a command-line tool or a script — rather than going through the application's intended user interface at all.</w:t>
      </w:r>
    </w:p>
    <w:p>
      <w:pPr>
        <w:pStyle w:val="Heading3"/>
        <w:spacing w:after="120" w:before="260"/>
      </w:pPr>
      <w:r>
        <w:t xml:space="preserve">3.10.1 Misconfigured Row-Level Access Control</w:t>
      </w:r>
    </w:p>
    <w:p>
      <w:pPr>
        <w:spacing w:after="200"/>
        <w:jc w:val="both"/>
      </w:pPr>
      <w:r>
        <w:rPr>
          <w:rFonts w:ascii="Calibri" w:cs="Calibri" w:eastAsia="Calibri" w:hAnsi="Calibri"/>
          <w:sz w:val="22"/>
          <w:szCs w:val="22"/>
        </w:rPr>
        <w:t xml:space="preserve">The first of the three specific mistakes concerns applications that connect their frontend directly to their database, using a feature commonly called row-level security to restrict which rows of data a given user is permitted to access or modify; when this row-level security is misconfigured, users can end up able to access, download, or modify data far beyond what was intended. Although GymFinder Canada does not use this specific database-level feature, the underlying failure mode maps directly onto the application's own design: any future endpoint such as an edit-review function must independently verify, in server-side code, that the specific review being edited actually belongs to the currently authenticated user, rather than trusting that the user interface simply would not have displayed an edit button for someone else's review, because that user-interface restriction provides no actual protection against a request sent directly to the server's endpoint rather than through the interface itself.</w:t>
      </w:r>
    </w:p>
    <w:p>
      <w:pPr>
        <w:spacing w:after="200"/>
        <w:jc w:val="both"/>
      </w:pPr>
      <w:r>
        <w:rPr>
          <w:rFonts w:ascii="Calibri" w:cs="Calibri" w:eastAsia="Calibri" w:hAnsi="Calibri"/>
          <w:sz w:val="22"/>
          <w:szCs w:val="22"/>
        </w:rPr>
        <w:t xml:space="preserve">A particularly severe version of this specific mistake, directly relevant to GymFinder Canada's own incentive-system design discussed in section 1.4, arises if a sensitive status field — for example, a future “trusted contributor” designation, or any future subscription or premium-tier status — is stored on the same database row that an ordinary user is otherwise permitted to edit, such as their own profile row. If the server-side logic does not specifically exclude that privileged field from what a user is allowed to modify about their own account, a user could potentially grant themselves elevated status or privileges directly, in exactly the same way the underlying example described a user being able to grant themselves a premium subscription tier by editing their own account record. Any such privileged or sensitive field must be made specifically unwritable by the ordinary user-facing update path, enforced at the database or backend layer, regardless of how that field happens to be organized within the broader data model.</w:t>
      </w:r>
    </w:p>
    <w:p>
      <w:pPr>
        <w:pStyle w:val="Heading3"/>
        <w:spacing w:after="120" w:before="260"/>
      </w:pPr>
      <w:r>
        <w:t xml:space="preserve">3.10.2 Rate Limits Enforced Only on the Frontend</w:t>
      </w:r>
    </w:p>
    <w:p>
      <w:pPr>
        <w:spacing w:after="200"/>
        <w:jc w:val="both"/>
      </w:pPr>
      <w:r>
        <w:rPr>
          <w:rFonts w:ascii="Calibri" w:cs="Calibri" w:eastAsia="Calibri" w:hAnsi="Calibri"/>
          <w:sz w:val="22"/>
          <w:szCs w:val="22"/>
        </w:rPr>
        <w:t xml:space="preserve">The second mistake concerns usage limits — for example, a limit on how many machine confirmations a user may submit within a given period, intended to reduce the Sybil-attack and data-poisoning risks discussed in section 3.4 — that are implemented only in frontend code, for instance by disabling a submission button in the user interface after it has been used once. Because a backend application programming interface endpoint is ultimately just an address that accepts requests, any such frontend-only restriction can be trivially bypassed by any user or script capable of sending requests directly to that endpoint using a general-purpose tool, entirely independent of the ordinary user interface and whatever restrictions it happens to display or enforce. The correct implementation, discussed as directly applicable to GymFinder Canada's planned confirmation and review systems, is to enforce any such limit in the backend code that actually processes the submission, ideally keyed on both the authenticated user's account and their originating internet address, since limiting only by account can be circumvented by an attacker willing to create multiple accounts, while limiting only by internet address can incorrectly restrict multiple legitimate users who happen to share a network.</w:t>
      </w:r>
    </w:p>
    <w:p>
      <w:pPr>
        <w:pStyle w:val="Heading3"/>
        <w:spacing w:after="120" w:before="260"/>
      </w:pPr>
      <w:r>
        <w:t xml:space="preserve">3.10.3 Sensitive API Calls Made Directly From the Client</w:t>
      </w:r>
    </w:p>
    <w:p>
      <w:pPr>
        <w:spacing w:after="200"/>
        <w:jc w:val="both"/>
      </w:pPr>
      <w:r>
        <w:rPr>
          <w:rFonts w:ascii="Calibri" w:cs="Calibri" w:eastAsia="Calibri" w:hAnsi="Calibri"/>
          <w:sz w:val="22"/>
          <w:szCs w:val="22"/>
        </w:rPr>
        <w:t xml:space="preserve">The third mistake concerns calling a sensitive third-party service directly from code that runs on the user's own device, such as a payment processor, an email-sending service, or, specific to this project, the Reddit API through the PRAW library. Any credential used to authenticate such a call must be embedded somewhere in the code that reaches the user's device in order for that call to be made from there, which means that credential becomes extractable by anyone who inspects the application's network traffic or client-side code, regardless of any other precautions taken. GymFinder Canada's current design already correctly avoids this specific mistake, since the Overpass and, when implemented, Reddit API calls are made from backend Python code running on a server rather than from any code running directly in a user's browser; maintaining this separation — keeping all sensitive third-party API calls confined to backend code, never to a future client-side or browser-executed layer — was discussed as an important design constraint to preserve deliberately as the application's frontend evolves, particularly if a more traditional browser-based frontend is ever introduced in place of or alongside the current Streamlit-based approach.</w:t>
      </w:r>
    </w:p>
    <w:p>
      <w:pPr>
        <w:spacing w:after="200"/>
        <w:jc w:val="both"/>
      </w:pPr>
      <w:r>
        <w:rPr>
          <w:rFonts w:ascii="Calibri" w:cs="Calibri" w:eastAsia="Calibri" w:hAnsi="Calibri"/>
          <w:sz w:val="22"/>
          <w:szCs w:val="22"/>
        </w:rPr>
        <w:t xml:space="preserve">A related, practical mitigation discussed independent of the architectural separation itself is that any account used with a third-party service that bills based on usage, even one that is currently free, should have spending alerts or hard budget caps configured directly with that service provider from the outset. This is specifically relevant if Reddit access were ever to move from GymFinder Canada's current free, non-commercial tier to a paid, usage-billed commercial tier as discussed in section 2.3, since a leaked or misused credential on a pay-per-call service without any configured spending cap is the specific mechanism by which an initially free student project could unexpectedly incur a substantial and unwanted bill.</w:t>
      </w:r>
    </w:p>
    <w:p>
      <w:pPr>
        <w:spacing w:after="200"/>
      </w:pPr>
    </w:p>
    <w:p>
      <w:pPr>
        <w:spacing w:after="100"/>
      </w:pPr>
      <w:r>
        <w:rPr>
          <w:rFonts w:ascii="Calibri" w:cs="Calibri" w:eastAsia="Calibri" w:hAnsi="Calibri"/>
          <w:b/>
          <w:bCs/>
          <w:sz w:val="22"/>
          <w:szCs w:val="22"/>
        </w:rPr>
        <w:t xml:space="preserve">Guiding Principle</w:t>
      </w:r>
    </w:p>
    <w:p>
      <w:pPr>
        <w:spacing w:after="200"/>
        <w:jc w:val="both"/>
      </w:pPr>
      <w:r>
        <w:rPr>
          <w:rFonts w:ascii="Calibri" w:cs="Calibri" w:eastAsia="Calibri" w:hAnsi="Calibri"/>
          <w:sz w:val="22"/>
          <w:szCs w:val="22"/>
        </w:rPr>
        <w:t xml:space="preserve">The client — whatever runs on the user's own device, whether a browser, a Streamlit interface, or any future frontend — can never be trusted to enforce a rule that actually matters. Anything the frontend appears to prevent, including editing another user's content, exceeding a submission rate limit, or invoking a paid or sensitive third-party service, must be independently and redundantly enforced again in server-side backend code, because any sufficiently motivated user is always able to bypass the frontend entirely and communicate with the backend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11111"/>
      <w:sz w:val="46"/>
      <w:szCs w:val="46"/>
    </w:rPr>
  </w:style>
  <w:style w:type="paragraph" w:styleId="Heading1">
    <w:name w:val="Heading 1"/>
    <w:basedOn w:val="Normal"/>
    <w:next w:val="Normal"/>
    <w:qFormat/>
    <w:rPr>
      <w:rFonts w:ascii="Calibri" w:cs="Calibri" w:eastAsia="Calibri" w:hAnsi="Calibri"/>
      <w:b/>
      <w:bCs/>
      <w:color w:val="1F1F1F"/>
      <w:sz w:val="34"/>
      <w:szCs w:val="34"/>
    </w:rPr>
  </w:style>
  <w:style w:type="paragraph" w:styleId="Heading2">
    <w:name w:val="Heading 2"/>
    <w:basedOn w:val="Normal"/>
    <w:next w:val="Normal"/>
    <w:qFormat/>
    <w:rPr>
      <w:rFonts w:ascii="Calibri" w:cs="Calibri" w:eastAsia="Calibri" w:hAnsi="Calibri"/>
      <w:b/>
      <w:bCs/>
      <w:color w:val="2D2D2D"/>
      <w:sz w:val="27"/>
      <w:szCs w:val="27"/>
    </w:rPr>
  </w:style>
  <w:style w:type="paragraph" w:styleId="Heading3">
    <w:name w:val="Heading 3"/>
    <w:basedOn w:val="Normal"/>
    <w:next w:val="Normal"/>
    <w:qFormat/>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2026-08-19T04:08:01.946Z</dcterms:created>
  <dcterms:modified xsi:type="dcterms:W3CDTF">2026-08-19T04:08:01.970Z</dcterms:modified>
</cp:coreProperties>
</file>

<file path=docProps/custom.xml><?xml version="1.0" encoding="utf-8"?>
<Properties xmlns="http://schemas.openxmlformats.org/officeDocument/2006/custom-properties" xmlns:vt="http://schemas.openxmlformats.org/officeDocument/2006/docPropsVTypes"/>
</file>