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公开Agent案例怎么学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Agent与自动化实操课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学案例不是为了照搬，而是为了打开思路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-automation-cover-20260619-172340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earning_path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gent与自动化实操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学案例不是为了照搬，而是为了打开思路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内容 agent、研究 agent、浏览器 agent 都值得看。</w:t>
      </w:r>
    </w:p>
    <w:p>
      <w:r>
        <w:rPr>
          <w:rFonts w:ascii="Calibri" w:hAnsi="Calibri" w:eastAsia="Calibri"/>
          <w:b w:val="0"/>
          <w:color w:val="222C3D"/>
          <w:sz w:val="22"/>
        </w:rPr>
        <w:t>内容 agent、研究 agent、浏览器 agent 都值得看。。如果你只是把这句话看成一个知识点，它很快会忘；但如果你把它放进自己的工作里，你就会知道这一步到底帮你省了什么、挡住了什么坑。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看案例要学结构，不是只看效果图。</w:t>
      </w:r>
    </w:p>
    <w:p>
      <w:r>
        <w:rPr>
          <w:rFonts w:ascii="Calibri" w:hAnsi="Calibri" w:eastAsia="Calibri"/>
          <w:b w:val="0"/>
          <w:color w:val="222C3D"/>
          <w:sz w:val="22"/>
        </w:rPr>
        <w:t>看案例要学结构，不是只看效果图。。如果你只是把这句话看成一个知识点，它很快会忘；但如果你把它放进自己的工作里，你就会知道这一步到底帮你省了什么、挡住了什么坑。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真正适合你的，永远要落回自己的任务。</w:t>
      </w:r>
    </w:p>
    <w:p>
      <w:r>
        <w:rPr>
          <w:rFonts w:ascii="Calibri" w:hAnsi="Calibri" w:eastAsia="Calibri"/>
          <w:b w:val="0"/>
          <w:color w:val="222C3D"/>
          <w:sz w:val="22"/>
        </w:rPr>
        <w:t>真正适合你的，永远要落回自己的任务。。如果你只是把这句话看成一个知识点，它很快会忘；但如果你把它放进自己的工作里，你就会知道这一步到底帮你省了什么、挡住了什么坑。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公开Agent案例怎么学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我只学“公开Agent案例怎么学”这一节，够不够？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如果把“公开Agent案例怎么学”放到做饭里理解：你不会因为买了更贵的锅，就自动做出一桌稳定好吃的菜。真正决定结果的，是做菜顺序、备菜标准、火候判断，以及你做过多少次。AI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用“公开Agent案例怎么学”这节课的逻辑，把这个任务拆成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我能不能用自己的话讲清楚“公开Agent案例怎么学”到底解决什么问题。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