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私域资料包设计清单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赠送Skills与Workflow包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一份能直接拿来设计免费资料和低客单产品的清单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ft-pack-cover-20260619-172429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赠送Skills与Workflow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一份能直接拿来设计免费资料和低客单产品的清单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适合引流和承接。</w:t>
      </w:r>
    </w:p>
    <w:p>
      <w:r>
        <w:rPr>
          <w:rFonts w:ascii="Calibri" w:hAnsi="Calibri" w:eastAsia="Calibri"/>
          <w:b w:val="0"/>
          <w:color w:val="222C3D"/>
          <w:sz w:val="22"/>
        </w:rPr>
        <w:t>适合引流和承接。。如果你只是把这句话看成一个知识点，它很快会忘；但如果你把它放进自己的工作里，你就会知道这一步到底帮你省了什么、挡住了什么坑。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帮助你避免大而全。</w:t>
      </w:r>
    </w:p>
    <w:p>
      <w:r>
        <w:rPr>
          <w:rFonts w:ascii="Calibri" w:hAnsi="Calibri" w:eastAsia="Calibri"/>
          <w:b w:val="0"/>
          <w:color w:val="222C3D"/>
          <w:sz w:val="22"/>
        </w:rPr>
        <w:t>帮助你避免大而全。。如果你只是把这句话看成一个知识点，它很快会忘；但如果你把它放进自己的工作里，你就会知道这一步到底帮你省了什么、挡住了什么坑。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先解决一个小结果。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先解决一个小结果。。如果你只是把这句话看成一个知识点，它很快会忘；但如果你把它放进自己的工作里，你就会知道这一步到底帮你省了什么、挡住了什么坑。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私域资料包设计清单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我只学“私域资料包设计清单”这一节，够不够？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如果把“私域资料包设计清单”放到做饭里理解：你不会因为买了更贵的锅，就自动做出一桌稳定好吃的菜。真正决定结果的，是做菜顺序、备菜标准、火候判断，以及你做过多少次。AI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用“私域资料包设计清单”这节课的逻辑，把这个任务拆成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我能不能用自己的话讲清楚“私域资料包设计清单”到底解决什么问题。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