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第1天_定位与目标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7天实战训练营版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第一天先不追求产出，先把人群、目标和学习结果钉住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cover-20260619-17321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第一天先不追求产出，先把人群、目标和学习结果钉住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先明确你服务谁。</w:t>
      </w:r>
    </w:p>
    <w:p>
      <w:r>
        <w:rPr>
          <w:rFonts w:ascii="Calibri" w:hAnsi="Calibri" w:eastAsia="Calibri"/>
          <w:b w:val="0"/>
          <w:color w:val="222C3D"/>
          <w:sz w:val="22"/>
        </w:rPr>
        <w:t>先明确你服务谁。。如果你只是把这句话看成一个知识点，它很快会忘；但如果你把它放进自己的工作里，你就会知道这一步到底帮你省了什么、挡住了什么坑。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先确定 7 天后要拿到什么结果。</w:t>
      </w:r>
    </w:p>
    <w:p>
      <w:r>
        <w:rPr>
          <w:rFonts w:ascii="Calibri" w:hAnsi="Calibri" w:eastAsia="Calibri"/>
          <w:b w:val="0"/>
          <w:color w:val="222C3D"/>
          <w:sz w:val="22"/>
        </w:rPr>
        <w:t>先确定 7 天后要拿到什么结果。。如果你只是把这句话看成一个知识点，它很快会忘；但如果你把它放进自己的工作里，你就会知道这一步到底帮你省了什么、挡住了什么坑。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目标越具体，后面动作越不飘。</w:t>
      </w:r>
    </w:p>
    <w:p>
      <w:r>
        <w:rPr>
          <w:rFonts w:ascii="Calibri" w:hAnsi="Calibri" w:eastAsia="Calibri"/>
          <w:b w:val="0"/>
          <w:color w:val="222C3D"/>
          <w:sz w:val="22"/>
        </w:rPr>
        <w:t>目标越具体，后面动作越不飘。。如果你只是把这句话看成一个知识点，它很快会忘；但如果你把它放进自己的工作里，你就会知道这一步到底帮你省了什么、挡住了什么坑。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1天_定位与目标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我只学“第1天_定位与目标”这一节，够不够？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如果把“第1天_定位与目标”放到做饭里理解：你不会因为买了更贵的锅，就自动做出一桌稳定好吃的菜。真正决定结果的，是做菜顺序、备菜标准、火候判断，以及你做过多少次。AI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用“第1天_定位与目标”这节课的逻辑，把这个任务拆成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我能不能用自己的话讲清楚“第1天_定位与目标”到底解决什么问题。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