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第2天_选题与资料包方向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7天实战训练营版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第二天把公开内容主题和免费资料包主题对齐</w:t>
      </w:r>
    </w:p>
    <w:p>
      <w:r>
        <w:rPr>
          <w:rFonts w:ascii="Calibri" w:hAnsi="Calibri" w:eastAsia="Calibri"/>
          <w:b w:val="0"/>
          <w:color w:val="222C3D"/>
          <w:sz w:val="22"/>
        </w:rPr>
        <w:t>这是一份直接给客户阅读也不会突兀的课程讲义。你可以把它当作公开资料、低客单内容、系统课讲义底稿，或者训练营前置阅读材料。</w:t>
      </w:r>
    </w:p>
    <w:p>
      <w:pPr>
        <w:pStyle w:val="CardTitle"/>
      </w:pPr>
      <w:r>
        <w:t>课程主视觉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tcamp-cover-20260619-173214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ivate_domain_fun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7天实战训练营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第二天把公开内容主题和免费资料包主题对齐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内容题目要能自然引出资料包。</w:t>
      </w:r>
    </w:p>
    <w:p>
      <w:r>
        <w:rPr>
          <w:rFonts w:ascii="Calibri" w:hAnsi="Calibri" w:eastAsia="Calibri"/>
          <w:b w:val="0"/>
          <w:color w:val="222C3D"/>
          <w:sz w:val="22"/>
        </w:rPr>
        <w:t>内容题目要能自然引出资料包。。如果你只是把这句话看成一个知识点，它很快会忘；但如果你把它放进自己的工作里，你就会知道这一步到底帮你省了什么、挡住了什么坑。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资料包要能自然引出私域。</w:t>
      </w:r>
    </w:p>
    <w:p>
      <w:r>
        <w:rPr>
          <w:rFonts w:ascii="Calibri" w:hAnsi="Calibri" w:eastAsia="Calibri"/>
          <w:b w:val="0"/>
          <w:color w:val="222C3D"/>
          <w:sz w:val="22"/>
        </w:rPr>
        <w:t>资料包要能自然引出私域。。如果你只是把这句话看成一个知识点，它很快会忘；但如果你把它放进自己的工作里，你就会知道这一步到底帮你省了什么、挡住了什么坑。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别做大而全，先解决一个小问题。</w:t>
      </w:r>
    </w:p>
    <w:p>
      <w:r>
        <w:rPr>
          <w:rFonts w:ascii="Calibri" w:hAnsi="Calibri" w:eastAsia="Calibri"/>
          <w:b w:val="0"/>
          <w:color w:val="222C3D"/>
          <w:sz w:val="22"/>
        </w:rPr>
        <w:t>别做大而全，先解决一个小问题。。如果你只是把这句话看成一个知识点，它很快会忘；但如果你把它放进自己的工作里，你就会知道这一步到底帮你省了什么、挡住了什么坑。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第2天_选题与资料包方向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我只学“第2天_选题与资料包方向”这一节，够不够？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如果把“第2天_选题与资料包方向”放到做饭里理解：你不会因为买了更贵的锅，就自动做出一桌稳定好吃的菜。真正决定结果的，是做菜顺序、备菜标准、火候判断，以及你做过多少次。AI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用“第2天_选题与资料包方向”这节课的逻辑，把这个任务拆成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我能不能用自己的话讲清楚“第2天_选题与资料包方向”到底解决什么问题。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