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模板填空版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把课程内容真正变成客户可以直接复制、直接改、直接发的成品模板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pPr>
        <w:pStyle w:val="CardTitle"/>
      </w:pPr>
      <w:r>
        <w:t>模块主视觉</w:t>
      </w:r>
    </w:p>
    <w:p>
      <w:r>
        <w:drawing>
          <wp:inline xmlns:a="http://schemas.openxmlformats.org/drawingml/2006/main" xmlns:pic="http://schemas.openxmlformats.org/drawingml/2006/picture">
            <wp:extent cx="5669280" cy="5669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late-fill-cover-20260619-174310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669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 w:val="0"/>
          <w:color w:val="5A6478"/>
          <w:sz w:val="18"/>
        </w:rPr>
        <w:t>图示用于课程讲解与私域转化说明。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01_账号定位填空模板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02_免费资料包填空模板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03_内容选题与标题填空模板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04_私域承接文案填空模板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05_训练营作业布置填空模板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