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公开Agent案例怎么学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Agent与自动化实操课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学案例不是为了照搬，而是为了打开思路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与自动化实操课_05_公开Agent案例怎么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与自动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学案例不是为了照搬，而是为了打开思路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内容 agent、研究 agent、浏览器 agent 都值得看。</w:t>
      </w:r>
    </w:p>
    <w:p>
      <w:r>
        <w:rPr>
          <w:rFonts w:ascii="Calibri" w:hAnsi="Calibri" w:eastAsia="Calibri"/>
          <w:b w:val="0"/>
          <w:color w:val="222C3D"/>
          <w:sz w:val="22"/>
        </w:rPr>
        <w:t>内容 agent、研究 agent、浏览器 agent 都值得看。。如果你只是把这句话看成一个知识点，它很快会忘；但如果你把它放进自己的工作里，你就会知道这一步到底帮你省了什么、挡住了什么坑。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看案例要学结构，不是只看效果图。</w:t>
      </w:r>
    </w:p>
    <w:p>
      <w:r>
        <w:rPr>
          <w:rFonts w:ascii="Calibri" w:hAnsi="Calibri" w:eastAsia="Calibri"/>
          <w:b w:val="0"/>
          <w:color w:val="222C3D"/>
          <w:sz w:val="22"/>
        </w:rPr>
        <w:t>看案例要学结构，不是只看效果图。。如果你只是把这句话看成一个知识点，它很快会忘；但如果你把它放进自己的工作里，你就会知道这一步到底帮你省了什么、挡住了什么坑。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真正适合你的，永远要落回自己的任务。</w:t>
      </w:r>
    </w:p>
    <w:p>
      <w:r>
        <w:rPr>
          <w:rFonts w:ascii="Calibri" w:hAnsi="Calibri" w:eastAsia="Calibri"/>
          <w:b w:val="0"/>
          <w:color w:val="222C3D"/>
          <w:sz w:val="22"/>
        </w:rPr>
        <w:t>真正适合你的，永远要落回自己的任务。。如果你只是把这句话看成一个知识点，它很快会忘；但如果你把它放进自己的工作里，你就会知道这一步到底帮你省了什么、挡住了什么坑。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公开Agent案例怎么学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我只学“公开Agent案例怎么学”这一节，够不够？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如果把“公开Agent案例怎么学”放到做饭里理解：你不会因为买了更贵的锅，就自动做出一桌稳定好吃的菜。真正决定结果的，是做菜顺序、备菜标准、火候判断，以及你做过多少次。AI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用“公开Agent案例怎么学”这节课的逻辑，把这个任务拆成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公开Agent案例怎么学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公开Agent案例怎么学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我直接发这节《公开Agent案例怎么学》时，会先加一句很短的引导：‘你先看这一份，不用全学，先把这里面一个动作跑顺。’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我能不能用自己的话讲清楚“公开Agent案例怎么学”到底解决什么问题。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