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留资与加微信路径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私域转化实操课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内容不是终点，进入私域才是真正开始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_02_留资与加微信路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内容不是终点，进入私域才是真正开始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CTA 要单一。</w:t>
      </w:r>
    </w:p>
    <w:p>
      <w:r>
        <w:rPr>
          <w:rFonts w:ascii="Calibri" w:hAnsi="Calibri" w:eastAsia="Calibri"/>
          <w:b w:val="0"/>
          <w:color w:val="222C3D"/>
          <w:sz w:val="22"/>
        </w:rPr>
        <w:t>CTA 要单一。。如果你只是把这句话看成一个知识点，它很快会忘；但如果你把它放进自己的工作里，你就会知道这一步到底帮你省了什么、挡住了什么坑。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加你动作要低门槛。</w:t>
      </w:r>
    </w:p>
    <w:p>
      <w:r>
        <w:rPr>
          <w:rFonts w:ascii="Calibri" w:hAnsi="Calibri" w:eastAsia="Calibri"/>
          <w:b w:val="0"/>
          <w:color w:val="222C3D"/>
          <w:sz w:val="22"/>
        </w:rPr>
        <w:t>加你动作要低门槛。。如果你只是把这句话看成一个知识点，它很快会忘；但如果你把它放进自己的工作里，你就会知道这一步到底帮你省了什么、挡住了什么坑。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不要一条内容放三个不同目标。</w:t>
      </w:r>
    </w:p>
    <w:p>
      <w:r>
        <w:rPr>
          <w:rFonts w:ascii="Calibri" w:hAnsi="Calibri" w:eastAsia="Calibri"/>
          <w:b w:val="0"/>
          <w:color w:val="222C3D"/>
          <w:sz w:val="22"/>
        </w:rPr>
        <w:t>不要一条内容放三个不同目标。。如果你只是把这句话看成一个知识点，它很快会忘；但如果你把它放进自己的工作里，你就会知道这一步到底帮你省了什么、挡住了什么坑。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留资与加微信路径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比如我要发一份免费资料包，我会先确定：这份资料包到底是给谁的、准备解决什么问题、看完以后我最想让对方做什么。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如果我的目标是让对方加我，那我只保留一个动作，比如‘想拿完整资料，私信我关键词资料’。我不会同时让他评论、关注、加群、去公众号，因为那样只会把动作打散。</w:t>
      </w:r>
    </w:p>
    <w:p>
      <w:r>
        <w:rPr>
          <w:rFonts w:ascii="Calibri" w:hAnsi="Calibri" w:eastAsia="Calibri"/>
          <w:b w:val="0"/>
          <w:color w:val="222C3D"/>
          <w:sz w:val="22"/>
        </w:rPr>
        <w:t>对我来说，真正有效的承接从来都不是更花哨，而是更单一、更顺、更容易让对方迈出下一步。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我只学“留资与加微信路径”这一节，够不够？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如果把“留资与加微信路径”放到做饭里理解：你不会因为买了更贵的锅，就自动做出一桌稳定好吃的菜。真正决定结果的，是做菜顺序、备菜标准、火候判断，以及你做过多少次。AI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用“留资与加微信路径”这节课的逻辑，把这个任务拆成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留资与加微信路径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留资与加微信路径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我直接发这节《留资与加微信路径》时，会先加一句很短的引导：‘你先看这一份，不用全学，先把这里面一个动作跑顺。’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我能不能用自己的话讲清楚“留资与加微信路径”到底解决什么问题。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