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b w:val="1"/>
          <w:sz w:val="52"/>
          <w:szCs w:val="52"/>
        </w:rPr>
      </w:pPr>
      <w:r w:rsidDel="00000000" w:rsidR="00000000" w:rsidRPr="00000000">
        <w:rPr>
          <w:rtl w:val="0"/>
        </w:rPr>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Plan de Gestión del Cronograma</w:t>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tabs>
          <w:tab w:val="center" w:pos="4881"/>
          <w:tab w:val="right" w:pos="9763"/>
        </w:tabs>
        <w:spacing w:after="240" w:line="240" w:lineRule="auto"/>
        <w:jc w:val="center"/>
        <w:rPr>
          <w:b w:val="1"/>
          <w:color w:val="984806"/>
          <w:sz w:val="56"/>
          <w:szCs w:val="56"/>
        </w:rPr>
      </w:pPr>
      <w:r w:rsidDel="00000000" w:rsidR="00000000" w:rsidRPr="00000000">
        <w:rPr>
          <w:b w:val="1"/>
          <w:color w:val="984806"/>
          <w:sz w:val="56"/>
          <w:szCs w:val="56"/>
          <w:rtl w:val="0"/>
        </w:rPr>
        <w:t xml:space="preserve">Rent a Tractor</w:t>
      </w:r>
    </w:p>
    <w:p w:rsidR="00000000" w:rsidDel="00000000" w:rsidP="00000000" w:rsidRDefault="00000000" w:rsidRPr="00000000" w14:paraId="00000007">
      <w:pPr>
        <w:tabs>
          <w:tab w:val="center" w:pos="4881"/>
          <w:tab w:val="right" w:pos="9763"/>
        </w:tabs>
        <w:spacing w:after="240" w:line="240" w:lineRule="auto"/>
        <w:jc w:val="center"/>
        <w:rPr>
          <w:b w:val="1"/>
          <w:color w:val="984806"/>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drawing>
          <wp:inline distB="114300" distT="114300" distL="114300" distR="114300">
            <wp:extent cx="5816043" cy="162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6043" cy="16211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pStyle w:val="Subtitle"/>
        <w:jc w:val="center"/>
        <w:rPr>
          <w:sz w:val="40"/>
          <w:szCs w:val="40"/>
        </w:rPr>
      </w:pPr>
      <w:bookmarkStart w:colFirst="0" w:colLast="0" w:name="_xq7082493bfv" w:id="0"/>
      <w:bookmarkEnd w:id="0"/>
      <w:r w:rsidDel="00000000" w:rsidR="00000000" w:rsidRPr="00000000">
        <w:rPr>
          <w:sz w:val="40"/>
          <w:szCs w:val="40"/>
          <w:rtl w:val="0"/>
        </w:rPr>
        <w:t xml:space="preserve">Grupo 3.2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bimqooiidezn" w:id="1"/>
      <w:bookmarkEnd w:id="1"/>
      <w:r w:rsidDel="00000000" w:rsidR="00000000" w:rsidRPr="00000000">
        <w:rPr>
          <w:rtl w:val="0"/>
        </w:rPr>
        <w:t xml:space="preserve">Historial de versiones</w:t>
      </w:r>
    </w:p>
    <w:p w:rsidR="00000000" w:rsidDel="00000000" w:rsidP="00000000" w:rsidRDefault="00000000" w:rsidRPr="00000000" w14:paraId="00000017">
      <w:pPr>
        <w:rPr/>
      </w:pPr>
      <w:r w:rsidDel="00000000" w:rsidR="00000000" w:rsidRPr="00000000">
        <w:rPr>
          <w:rtl w:val="0"/>
        </w:rPr>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095"/>
        <w:gridCol w:w="6345"/>
        <w:tblGridChange w:id="0">
          <w:tblGrid>
            <w:gridCol w:w="1530"/>
            <w:gridCol w:w="1095"/>
            <w:gridCol w:w="63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40" w:lineRule="auto"/>
              <w:ind w:left="720" w:hanging="360"/>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595959" w:val="clear"/>
        <w:tabs>
          <w:tab w:val="left" w:pos="3128"/>
          <w:tab w:val="center" w:pos="4680"/>
          <w:tab w:val="left" w:pos="6737"/>
        </w:tabs>
        <w:spacing w:line="240" w:lineRule="auto"/>
        <w:jc w:val="center"/>
        <w:rPr>
          <w:rFonts w:ascii="Helvetica Neue" w:cs="Helvetica Neue" w:eastAsia="Helvetica Neue" w:hAnsi="Helvetica Neue"/>
          <w:b w:val="1"/>
          <w:color w:val="ffffff"/>
          <w:sz w:val="40"/>
          <w:szCs w:val="40"/>
        </w:rPr>
      </w:pPr>
      <w:r w:rsidDel="00000000" w:rsidR="00000000" w:rsidRPr="00000000">
        <w:rPr>
          <w:rFonts w:ascii="Helvetica Neue" w:cs="Helvetica Neue" w:eastAsia="Helvetica Neue" w:hAnsi="Helvetica Neue"/>
          <w:b w:val="1"/>
          <w:color w:val="ffffff"/>
          <w:sz w:val="40"/>
          <w:szCs w:val="40"/>
          <w:rtl w:val="0"/>
        </w:rPr>
        <w:t xml:space="preserve">PLAN DE GESTIÓN DEL CRONOGRAMA</w:t>
      </w:r>
    </w:p>
    <w:p w:rsidR="00000000" w:rsidDel="00000000" w:rsidP="00000000" w:rsidRDefault="00000000" w:rsidRPr="00000000" w14:paraId="0000004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spacing w:after="160" w:line="240" w:lineRule="auto"/>
        <w:rPr>
          <w:rFonts w:ascii="Helvetica Neue" w:cs="Helvetica Neue" w:eastAsia="Helvetica Neue" w:hAnsi="Helvetica Neue"/>
          <w:color w:val="808080"/>
          <w:u w:val="single"/>
        </w:rPr>
      </w:pPr>
      <w:r w:rsidDel="00000000" w:rsidR="00000000" w:rsidRPr="00000000">
        <w:rPr>
          <w:rFonts w:ascii="Helvetica Neue" w:cs="Helvetica Neue" w:eastAsia="Helvetica Neue" w:hAnsi="Helvetica Neue"/>
          <w:rtl w:val="0"/>
        </w:rPr>
        <w:t xml:space="preserve">Título del Proyecto: </w:t>
      </w:r>
      <w:r w:rsidDel="00000000" w:rsidR="00000000" w:rsidRPr="00000000">
        <w:rPr>
          <w:rFonts w:ascii="Helvetica Neue" w:cs="Helvetica Neue" w:eastAsia="Helvetica Neue" w:hAnsi="Helvetica Neue"/>
          <w:color w:val="808080"/>
          <w:u w:val="single"/>
          <w:rtl w:val="0"/>
        </w:rPr>
        <w:t xml:space="preserve">Rent a tractor</w:t>
      </w:r>
      <w:r w:rsidDel="00000000" w:rsidR="00000000" w:rsidRPr="00000000">
        <w:rPr>
          <w:rFonts w:ascii="Helvetica Neue" w:cs="Helvetica Neue" w:eastAsia="Helvetica Neue" w:hAnsi="Helvetica Neue"/>
          <w:color w:val="808080"/>
          <w:rtl w:val="0"/>
        </w:rPr>
        <w:tab/>
        <w:tab/>
      </w:r>
      <w:r w:rsidDel="00000000" w:rsidR="00000000" w:rsidRPr="00000000">
        <w:rPr>
          <w:rFonts w:ascii="Helvetica Neue" w:cs="Helvetica Neue" w:eastAsia="Helvetica Neue" w:hAnsi="Helvetica Neue"/>
          <w:color w:val="31849b"/>
          <w:rtl w:val="0"/>
        </w:rPr>
        <w:t xml:space="preserve">Fecha:  </w:t>
      </w:r>
      <w:r w:rsidDel="00000000" w:rsidR="00000000" w:rsidRPr="00000000">
        <w:rPr>
          <w:rFonts w:ascii="Helvetica Neue" w:cs="Helvetica Neue" w:eastAsia="Helvetica Neue" w:hAnsi="Helvetica Neue"/>
          <w:color w:val="808080"/>
          <w:u w:val="single"/>
          <w:rtl w:val="0"/>
        </w:rPr>
        <w:t xml:space="preserve">10/10/2022</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Metodología del Cronograma:</w:t>
      </w:r>
    </w:p>
    <w:p w:rsidR="00000000" w:rsidDel="00000000" w:rsidP="00000000" w:rsidRDefault="00000000" w:rsidRPr="00000000" w14:paraId="0000004D">
      <w:pPr>
        <w:spacing w:line="240" w:lineRule="auto"/>
        <w:rPr>
          <w:rFonts w:ascii="Helvetica Neue" w:cs="Helvetica Neue" w:eastAsia="Helvetica Neue" w:hAnsi="Helvetica Neue"/>
        </w:rPr>
      </w:pPr>
      <w:r w:rsidDel="00000000" w:rsidR="00000000" w:rsidRPr="00000000">
        <w:rPr>
          <w:rtl w:val="0"/>
        </w:rPr>
      </w:r>
    </w:p>
    <w:tbl>
      <w:tblPr>
        <w:tblStyle w:val="Table2"/>
        <w:tblW w:w="9015.0" w:type="dxa"/>
        <w:jc w:val="left"/>
        <w:tblInd w:w="123.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15"/>
        <w:tblGridChange w:id="0">
          <w:tblGrid>
            <w:gridCol w:w="9015"/>
          </w:tblGrid>
        </w:tblGridChange>
      </w:tblGrid>
      <w:tr>
        <w:trPr>
          <w:cantSplit w:val="0"/>
          <w:trHeight w:val="1019.0234375" w:hRule="atLeast"/>
          <w:tblHeader w:val="0"/>
        </w:trPr>
        <w:tc>
          <w:tcPr>
            <w:tcBorders>
              <w:top w:color="000000" w:space="0" w:sz="8" w:val="single"/>
              <w:bottom w:color="000000" w:space="0" w:sz="8" w:val="single"/>
            </w:tcBorders>
          </w:tcPr>
          <w:p w:rsidR="00000000" w:rsidDel="00000000" w:rsidP="00000000" w:rsidRDefault="00000000" w:rsidRPr="00000000" w14:paraId="0000004E">
            <w:pPr>
              <w:spacing w:line="240" w:lineRule="auto"/>
              <w:rPr>
                <w:rFonts w:ascii="Helvetica Neue" w:cs="Helvetica Neue" w:eastAsia="Helvetica Neue" w:hAnsi="Helvetica Neue"/>
                <w:i w:val="1"/>
                <w:color w:val="808080"/>
              </w:rPr>
            </w:pPr>
            <w:r w:rsidDel="00000000" w:rsidR="00000000" w:rsidRPr="00000000">
              <w:rPr>
                <w:rFonts w:ascii="Helvetica Neue" w:cs="Helvetica Neue" w:eastAsia="Helvetica Neue" w:hAnsi="Helvetica Neue"/>
                <w:i w:val="1"/>
                <w:color w:val="808080"/>
                <w:rtl w:val="0"/>
              </w:rPr>
              <w:t xml:space="preserve">Cómo se identificarán y definirán las actividades. Cómo se codificarán. • Cómo se definen y estiman los recursos. • Cómo se definen y estiman los esfuerzos. Unidades de medida y nivel de precisión en las estimaciones de tiempo. </w:t>
            </w:r>
          </w:p>
          <w:p w:rsidR="00000000" w:rsidDel="00000000" w:rsidP="00000000" w:rsidRDefault="00000000" w:rsidRPr="00000000" w14:paraId="0000004F">
            <w:pPr>
              <w:spacing w:line="240" w:lineRule="auto"/>
              <w:rPr>
                <w:rFonts w:ascii="Helvetica Neue" w:cs="Helvetica Neue" w:eastAsia="Helvetica Neue" w:hAnsi="Helvetica Neue"/>
                <w:i w:val="1"/>
                <w:color w:val="808080"/>
              </w:rPr>
            </w:pPr>
            <w:r w:rsidDel="00000000" w:rsidR="00000000" w:rsidRPr="00000000">
              <w:rPr>
                <w:rtl w:val="0"/>
              </w:rPr>
            </w:r>
          </w:p>
          <w:p w:rsidR="00000000" w:rsidDel="00000000" w:rsidP="00000000" w:rsidRDefault="00000000" w:rsidRPr="00000000" w14:paraId="00000050">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Las actividades se basarán en los paquetes de trabajo creados en la EDT, por lo que tendremos tantas actividades como paquetes de trabajo. Estas se codificarán con la misma secuencia numérica empleada en la EDT, para que se mantenga la trazabilidad entre los paquetes de trabajo y las actividades.</w:t>
            </w:r>
          </w:p>
          <w:p w:rsidR="00000000" w:rsidDel="00000000" w:rsidP="00000000" w:rsidRDefault="00000000" w:rsidRPr="00000000" w14:paraId="00000051">
            <w:pPr>
              <w:spacing w:line="240" w:lineRule="auto"/>
              <w:jc w:val="both"/>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52">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Tenemos 4 tipos de recursos:</w:t>
            </w:r>
          </w:p>
          <w:p w:rsidR="00000000" w:rsidDel="00000000" w:rsidP="00000000" w:rsidRDefault="00000000" w:rsidRPr="00000000" w14:paraId="00000053">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humanos: El equipo de dirección y el equipo de desarrollo. Son los que poseen el conocimiento para realizar el proyecto.</w:t>
            </w:r>
          </w:p>
          <w:p w:rsidR="00000000" w:rsidDel="00000000" w:rsidP="00000000" w:rsidRDefault="00000000" w:rsidRPr="00000000" w14:paraId="00000054">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materiales: Herramientas necesarias para realizar el proyecto, los equipos informáticos, los programas informáticos con sus respectivas instalaciones, etc.</w:t>
            </w:r>
          </w:p>
          <w:p w:rsidR="00000000" w:rsidDel="00000000" w:rsidP="00000000" w:rsidRDefault="00000000" w:rsidRPr="00000000" w14:paraId="00000055">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financieros: Remuneración de los recursos humanos y la compra o alquiler de los recursos materiales.</w:t>
            </w:r>
          </w:p>
          <w:p w:rsidR="00000000" w:rsidDel="00000000" w:rsidP="00000000" w:rsidRDefault="00000000" w:rsidRPr="00000000" w14:paraId="00000056">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materiales: Tenemos un plazo de entrega del proyecto establecido dividido en planificación (28 de octubre) y proyecto completo (13 de diciembre).</w:t>
            </w:r>
          </w:p>
          <w:p w:rsidR="00000000" w:rsidDel="00000000" w:rsidP="00000000" w:rsidRDefault="00000000" w:rsidRPr="00000000" w14:paraId="00000057">
            <w:pPr>
              <w:spacing w:line="240" w:lineRule="auto"/>
              <w:jc w:val="both"/>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58">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La estimación del esfuerzo tratará de predecir los recursos, costos, tiempo y esfuerzo necesarios para completar las actividades del proyecto y entregar el producto.</w:t>
            </w:r>
          </w:p>
          <w:p w:rsidR="00000000" w:rsidDel="00000000" w:rsidP="00000000" w:rsidRDefault="00000000" w:rsidRPr="00000000" w14:paraId="00000059">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Para calcularlo se tendrá en cuenta la complejidad, el tamaño del proyecto, el grado de incertidumbre y la disponibilidad de información histórica. </w:t>
            </w:r>
          </w:p>
          <w:p w:rsidR="00000000" w:rsidDel="00000000" w:rsidP="00000000" w:rsidRDefault="00000000" w:rsidRPr="00000000" w14:paraId="0000005A">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El esfuerzo se medirá en hora/persona, se calculará mediante la técnica de Planning Poker,  y su estimación, de ser errónea afectaría en gran medida al proyecto. </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Herramientas del Cronograma:</w:t>
      </w:r>
    </w:p>
    <w:p w:rsidR="00000000" w:rsidDel="00000000" w:rsidP="00000000" w:rsidRDefault="00000000" w:rsidRPr="00000000" w14:paraId="0000005D">
      <w:pPr>
        <w:spacing w:line="240" w:lineRule="auto"/>
        <w:rPr>
          <w:rFonts w:ascii="Helvetica Neue" w:cs="Helvetica Neue" w:eastAsia="Helvetica Neue" w:hAnsi="Helvetica Neue"/>
        </w:rPr>
      </w:pPr>
      <w:r w:rsidDel="00000000" w:rsidR="00000000" w:rsidRPr="00000000">
        <w:rPr>
          <w:rtl w:val="0"/>
        </w:rPr>
      </w:r>
    </w:p>
    <w:tbl>
      <w:tblPr>
        <w:tblStyle w:val="Table3"/>
        <w:tblW w:w="9015.0" w:type="dxa"/>
        <w:jc w:val="left"/>
        <w:tblInd w:w="123.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15"/>
        <w:tblGridChange w:id="0">
          <w:tblGrid>
            <w:gridCol w:w="9015"/>
          </w:tblGrid>
        </w:tblGridChange>
      </w:tblGrid>
      <w:tr>
        <w:trPr>
          <w:cantSplit w:val="0"/>
          <w:trHeight w:val="1019.0234375" w:hRule="atLeast"/>
          <w:tblHeader w:val="0"/>
        </w:trPr>
        <w:tc>
          <w:tcPr>
            <w:tcBorders>
              <w:top w:color="000000" w:space="0" w:sz="8" w:val="single"/>
              <w:bottom w:color="000000" w:space="0" w:sz="8" w:val="single"/>
            </w:tcBorders>
          </w:tcPr>
          <w:p w:rsidR="00000000" w:rsidDel="00000000" w:rsidP="00000000" w:rsidRDefault="00000000" w:rsidRPr="00000000" w14:paraId="0000005E">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La herramienta que usaremos principalmente para la realización del cronograma será  Microsoft Project, que ayuda a planificar los proyectos de forma sencilla basándose en el esfuerzo necesario, la duración del proyecto y los miembros del equipo asignados.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Reservas de Contingencia:</w:t>
      </w:r>
    </w:p>
    <w:p w:rsidR="00000000" w:rsidDel="00000000" w:rsidP="00000000" w:rsidRDefault="00000000" w:rsidRPr="00000000" w14:paraId="00000061">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18.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Dentro de las actividades del cronograma, encontramos actividades críticas. Esto significa que un retraso en su realización, comprometería la fecha de entrega del proyecto, es por ello que siempre que nos encontremos en un caso en el que veamos que no se va a poder cumplir con el plazo, se tratará de hacer una paralelización entre distintas actividades.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Seguimiento y Control:</w:t>
      </w:r>
    </w:p>
    <w:p w:rsidR="00000000" w:rsidDel="00000000" w:rsidP="00000000" w:rsidRDefault="00000000" w:rsidRPr="00000000" w14:paraId="00000065">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Medición del Avance de una Actividad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808080"/>
              </w:rPr>
            </w:pPr>
            <w:r w:rsidDel="00000000" w:rsidR="00000000" w:rsidRPr="00000000">
              <w:rPr>
                <w:i w:val="1"/>
                <w:color w:val="808080"/>
                <w:rtl w:val="0"/>
              </w:rPr>
              <w:t xml:space="preserve">Cómo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Responsables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Actualización de la Línea Base de Tiempo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808080"/>
              </w:rPr>
            </w:pPr>
            <w:r w:rsidDel="00000000" w:rsidR="00000000" w:rsidRPr="00000000">
              <w:rPr>
                <w:i w:val="1"/>
                <w:color w:val="808080"/>
                <w:rtl w:val="0"/>
              </w:rPr>
              <w:t xml:space="preserve">Cómo y Cuándo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Responsables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Cuentas de Control de la EDT para Gestionar los Avances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808080"/>
              </w:rPr>
            </w:pPr>
            <w:r w:rsidDel="00000000" w:rsidR="00000000" w:rsidRPr="00000000">
              <w:rPr>
                <w:i w:val="1"/>
                <w:color w:val="808080"/>
                <w:rtl w:val="0"/>
              </w:rPr>
              <w:t xml:space="preserve">Cuáles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Informes de Avance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808080"/>
              </w:rPr>
            </w:pPr>
            <w:r w:rsidDel="00000000" w:rsidR="00000000" w:rsidRPr="00000000">
              <w:rPr>
                <w:i w:val="1"/>
                <w:color w:val="808080"/>
                <w:rtl w:val="0"/>
              </w:rPr>
              <w:t xml:space="preserve">Cómo y Cuándo</w:t>
            </w:r>
          </w:p>
        </w:tc>
      </w:tr>
    </w:tbl>
    <w:p w:rsidR="00000000" w:rsidDel="00000000" w:rsidP="00000000" w:rsidRDefault="00000000" w:rsidRPr="00000000" w14:paraId="00000076">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Open Sans" w:cs="Open Sans" w:eastAsia="Open Sans" w:hAnsi="Open Sans"/>
        <w:color w:val="2f5496"/>
        <w:sz w:val="28"/>
        <w:szCs w:val="28"/>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Open Sans" w:cs="Open Sans" w:eastAsia="Open Sans" w:hAnsi="Open Sans"/>
        <w:color w:val="445369"/>
        <w:sz w:val="18"/>
        <w:szCs w:val="18"/>
      </w:rPr>
    </w:pPr>
    <w:r w:rsidDel="00000000" w:rsidR="00000000" w:rsidRPr="00000000">
      <w:rPr>
        <w:rtl w:val="0"/>
      </w:rPr>
    </w:r>
  </w:p>
  <w:p w:rsidR="00000000" w:rsidDel="00000000" w:rsidP="00000000" w:rsidRDefault="00000000" w:rsidRPr="00000000" w14:paraId="00000079">
    <w:pPr>
      <w:pBdr>
        <w:top w:color="000000" w:space="1" w:sz="4" w:val="single"/>
      </w:pBdr>
      <w:tabs>
        <w:tab w:val="right" w:pos="8647"/>
        <w:tab w:val="left" w:pos="4253"/>
        <w:tab w:val="right" w:pos="9639"/>
      </w:tabs>
      <w:spacing w:before="120" w:line="240" w:lineRule="auto"/>
      <w:rPr>
        <w:rFonts w:ascii="Open Sans" w:cs="Open Sans" w:eastAsia="Open Sans" w:hAnsi="Open Sans"/>
        <w:color w:val="445369"/>
        <w:sz w:val="18"/>
        <w:szCs w:val="18"/>
      </w:rPr>
    </w:pPr>
    <w:r w:rsidDel="00000000" w:rsidR="00000000" w:rsidRPr="00000000">
      <w:rPr>
        <w:rFonts w:ascii="Calibri" w:cs="Calibri" w:eastAsia="Calibri" w:hAnsi="Calibri"/>
        <w:sz w:val="16"/>
        <w:szCs w:val="16"/>
        <w:rtl w:val="0"/>
      </w:rPr>
      <w:t xml:space="preserve">Fecha: </w:t>
    </w:r>
    <w:r w:rsidDel="00000000" w:rsidR="00000000" w:rsidRPr="00000000">
      <w:rPr>
        <w:rFonts w:ascii="Calibri" w:cs="Calibri" w:eastAsia="Calibri" w:hAnsi="Calibri"/>
        <w:color w:val="984806"/>
        <w:sz w:val="16"/>
        <w:szCs w:val="16"/>
        <w:rtl w:val="0"/>
      </w:rPr>
      <w:t xml:space="preserve">10/10/2022</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color w:val="1b6fb5"/>
        <w:sz w:val="16"/>
        <w:szCs w:val="16"/>
        <w:rtl w:val="0"/>
      </w:rPr>
      <w:tab/>
    </w:r>
    <w:r w:rsidDel="00000000" w:rsidR="00000000" w:rsidRPr="00000000">
      <w:rPr>
        <w:rFonts w:ascii="Calibri" w:cs="Calibri" w:eastAsia="Calibri" w:hAnsi="Calibri"/>
        <w:sz w:val="16"/>
        <w:szCs w:val="16"/>
        <w:rtl w:val="0"/>
      </w:rPr>
      <w:t xml:space="preserve"> Versión:</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984806"/>
        <w:sz w:val="16"/>
        <w:szCs w:val="16"/>
        <w:rtl w:val="0"/>
      </w:rPr>
      <w:t xml:space="preserve">1.0</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sz w:val="20"/>
        <w:szCs w:val="20"/>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Rent a Tractor</w:t>
    </w:r>
    <w:r w:rsidDel="00000000" w:rsidR="00000000" w:rsidRPr="00000000">
      <w:rPr>
        <w:rFonts w:ascii="Calibri" w:cs="Calibri" w:eastAsia="Calibri" w:hAnsi="Calibri"/>
        <w:sz w:val="18"/>
        <w:szCs w:val="18"/>
        <w:rtl w:val="0"/>
      </w:rPr>
      <w:t xml:space="preserve">  Plan de Gestión del Cronograma</w:t>
    </w:r>
  </w:p>
  <w:p w:rsidR="00000000" w:rsidDel="00000000" w:rsidP="00000000" w:rsidRDefault="00000000" w:rsidRPr="00000000" w14:paraId="0000007B">
    <w:pPr>
      <w:tabs>
        <w:tab w:val="center" w:pos="4536"/>
        <w:tab w:val="right" w:pos="9072"/>
      </w:tabs>
      <w:spacing w:after="200" w:line="276"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