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Default Extension="jpe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A1" w:rsidRDefault="003D7954">
      <w:pPr>
        <w:framePr w:w="4980" w:wrap="auto" w:hAnchor="text" w:x="6452" w:y="208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86415"/>
            <wp:effectExtent l="2540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557A1">
        <w:rPr>
          <w:rFonts w:ascii="LMSans17 Regular" w:hAnsi="LMSans17 Regular" w:cs="LMSans17 Regular"/>
          <w:color w:val="A5A5A5"/>
          <w:sz w:val="67"/>
          <w:szCs w:val="67"/>
        </w:rPr>
        <w:t>John Muschelli</w:t>
      </w:r>
    </w:p>
    <w:p w:rsidR="00D557A1" w:rsidRDefault="00D557A1">
      <w:pPr>
        <w:framePr w:w="1886" w:wrap="auto" w:hAnchor="text" w:x="2826" w:y="3980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2 Regular" w:hAnsi="LMSans12 Regular" w:cs="LMSans12 Regular"/>
          <w:color w:val="3265A5"/>
          <w:sz w:val="25"/>
          <w:szCs w:val="25"/>
        </w:rPr>
        <w:t>Education</w:t>
      </w:r>
    </w:p>
    <w:p w:rsidR="00D557A1" w:rsidRDefault="00D557A1">
      <w:pPr>
        <w:framePr w:w="1616" w:wrap="auto" w:hAnchor="text" w:x="1696" w:y="434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2008–2010</w:t>
      </w:r>
    </w:p>
    <w:p w:rsidR="00D557A1" w:rsidRDefault="00D557A1">
      <w:pPr>
        <w:framePr w:w="6427" w:wrap="auto" w:hAnchor="text" w:x="2826" w:y="4334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 xml:space="preserve">ScM, </w:t>
      </w:r>
      <w:r>
        <w:rPr>
          <w:rFonts w:ascii="LMSans10 Oblique" w:hAnsi="LMSans10 Oblique" w:cs="LMSans10 Oblique"/>
          <w:color w:val="000000"/>
          <w:sz w:val="19"/>
          <w:szCs w:val="19"/>
        </w:rPr>
        <w:t xml:space="preserve">Johns Hopkins School of Public Health, </w:t>
      </w:r>
      <w:r>
        <w:rPr>
          <w:rFonts w:ascii="LMSans10 Regular" w:hAnsi="LMSans10 Regular" w:cs="LMSans10 Regular"/>
          <w:color w:val="000000"/>
          <w:sz w:val="19"/>
          <w:szCs w:val="19"/>
        </w:rPr>
        <w:t>Baltimore, MD.</w:t>
      </w:r>
    </w:p>
    <w:p w:rsidR="00D557A1" w:rsidRDefault="00D557A1">
      <w:pPr>
        <w:framePr w:w="8427" w:wrap="auto" w:hAnchor="text" w:x="2826" w:y="461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Area of Study: fMRI brain image data analysis</w:t>
      </w:r>
    </w:p>
    <w:p w:rsidR="00D557A1" w:rsidRDefault="00D557A1">
      <w:pPr>
        <w:framePr w:w="8427" w:wrap="auto" w:hAnchor="text" w:x="2826" w:y="461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 xml:space="preserve">Thesis Topic: </w:t>
      </w:r>
      <w:r>
        <w:rPr>
          <w:rFonts w:ascii="LMSans10 Oblique" w:hAnsi="LMSans10 Oblique" w:cs="LMSans10 Oblique"/>
          <w:color w:val="000000"/>
          <w:sz w:val="18"/>
          <w:szCs w:val="18"/>
        </w:rPr>
        <w:t>An Iterative Approach to Hemodynamic Response Function Temporal Deriva-</w:t>
      </w:r>
    </w:p>
    <w:p w:rsidR="00D557A1" w:rsidRDefault="00D557A1">
      <w:pPr>
        <w:framePr w:w="8427" w:wrap="auto" w:hAnchor="text" w:x="2826" w:y="461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Oblique" w:hAnsi="LMSans10 Oblique" w:cs="LMSans10 Oblique"/>
          <w:color w:val="000000"/>
          <w:sz w:val="18"/>
          <w:szCs w:val="18"/>
        </w:rPr>
        <w:t>tives in Statistical Parametric Mapping for Functional Neuroimaging</w:t>
      </w:r>
    </w:p>
    <w:p w:rsidR="00D557A1" w:rsidRDefault="00D557A1">
      <w:pPr>
        <w:framePr w:w="8427" w:wrap="auto" w:hAnchor="text" w:x="2826" w:y="461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Adviser: Professor Brian Caﬀo</w:t>
      </w:r>
    </w:p>
    <w:p w:rsidR="00D557A1" w:rsidRDefault="00D557A1">
      <w:pPr>
        <w:framePr w:w="1616" w:wrap="auto" w:hAnchor="text" w:x="1696" w:y="5620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2004–2008</w:t>
      </w:r>
    </w:p>
    <w:p w:rsidR="00D557A1" w:rsidRDefault="00D557A1">
      <w:pPr>
        <w:framePr w:w="6075" w:wrap="auto" w:hAnchor="text" w:x="2826" w:y="5606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 xml:space="preserve">BS, </w:t>
      </w:r>
      <w:r>
        <w:rPr>
          <w:rFonts w:ascii="LMSans10 Oblique" w:hAnsi="LMSans10 Oblique" w:cs="LMSans10 Oblique"/>
          <w:color w:val="000000"/>
          <w:sz w:val="19"/>
          <w:szCs w:val="19"/>
        </w:rPr>
        <w:t xml:space="preserve">The University of Scranton, </w:t>
      </w:r>
      <w:r>
        <w:rPr>
          <w:rFonts w:ascii="LMSans10 Regular" w:hAnsi="LMSans10 Regular" w:cs="LMSans10 Regular"/>
          <w:color w:val="000000"/>
          <w:sz w:val="19"/>
          <w:szCs w:val="19"/>
        </w:rPr>
        <w:t>Scranton, PA, GPA: 3.87.</w:t>
      </w:r>
    </w:p>
    <w:p w:rsidR="00D557A1" w:rsidRDefault="00D557A1">
      <w:pPr>
        <w:framePr w:w="6134" w:wrap="auto" w:hAnchor="text" w:x="2826" w:y="589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Majors: Biomathematics and Neuroscience</w:t>
      </w:r>
    </w:p>
    <w:p w:rsidR="00D557A1" w:rsidRDefault="00D557A1">
      <w:pPr>
        <w:framePr w:w="6134" w:wrap="auto" w:hAnchor="text" w:x="2826" w:y="589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Summa Cum Laude</w:t>
      </w:r>
    </w:p>
    <w:p w:rsidR="00D557A1" w:rsidRDefault="00D557A1">
      <w:pPr>
        <w:framePr w:w="6134" w:wrap="auto" w:hAnchor="text" w:x="2826" w:y="589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Advisers: Professor Jakub Jasinski, Professor J. Timothy Cannon</w:t>
      </w:r>
    </w:p>
    <w:p w:rsidR="00D557A1" w:rsidRDefault="00D557A1">
      <w:pPr>
        <w:framePr w:w="3457" w:wrap="auto" w:hAnchor="text" w:x="2826" w:y="695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2 Regular" w:hAnsi="LMSans12 Regular" w:cs="LMSans12 Regular"/>
          <w:color w:val="3265A5"/>
          <w:sz w:val="25"/>
          <w:szCs w:val="25"/>
        </w:rPr>
        <w:t>Professional Experience</w:t>
      </w:r>
    </w:p>
    <w:p w:rsidR="00D557A1" w:rsidRDefault="00D557A1">
      <w:pPr>
        <w:framePr w:w="1841" w:wrap="auto" w:hAnchor="text" w:x="1470" w:y="737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2009–Present</w:t>
      </w:r>
    </w:p>
    <w:p w:rsidR="00D557A1" w:rsidRDefault="00D557A1">
      <w:pPr>
        <w:framePr w:w="8277" w:wrap="auto" w:hAnchor="text" w:x="2826" w:y="736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 xml:space="preserve">Research Associate, </w:t>
      </w:r>
      <w:r>
        <w:rPr>
          <w:rFonts w:ascii="LMSans10 Oblique" w:hAnsi="LMSans10 Oblique" w:cs="LMSans10 Oblique"/>
          <w:color w:val="000000"/>
          <w:sz w:val="19"/>
          <w:szCs w:val="19"/>
        </w:rPr>
        <w:t xml:space="preserve">Johns Hopkins Biostatistics Center (JHBC), </w:t>
      </w:r>
      <w:r>
        <w:rPr>
          <w:rFonts w:ascii="LMSans10 Regular" w:hAnsi="LMSans10 Regular" w:cs="LMSans10 Regular"/>
          <w:color w:val="000000"/>
          <w:sz w:val="19"/>
          <w:szCs w:val="19"/>
        </w:rPr>
        <w:t>Baltimore, MD.</w:t>
      </w:r>
    </w:p>
    <w:p w:rsidR="00D557A1" w:rsidRDefault="00D557A1">
      <w:pPr>
        <w:framePr w:w="6553" w:wrap="auto" w:hAnchor="text" w:x="2826" w:y="764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Collaborated on statistical projects with senior consultants.</w:t>
      </w:r>
    </w:p>
    <w:p w:rsidR="00D557A1" w:rsidRDefault="00D557A1">
      <w:pPr>
        <w:framePr w:w="6553" w:wrap="auto" w:hAnchor="text" w:x="2826" w:y="764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Report writing and analyzing data using statistical software: R, Stata.</w:t>
      </w:r>
    </w:p>
    <w:p w:rsidR="00D557A1" w:rsidRDefault="00D557A1">
      <w:pPr>
        <w:framePr w:w="6553" w:wrap="auto" w:hAnchor="text" w:x="2826" w:y="764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Cleaning and checking quality of data</w:t>
      </w:r>
    </w:p>
    <w:p w:rsidR="00D557A1" w:rsidRDefault="00D557A1">
      <w:pPr>
        <w:framePr w:w="1841" w:wrap="auto" w:hAnchor="text" w:x="1470" w:y="8426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2010–Present</w:t>
      </w:r>
    </w:p>
    <w:p w:rsidR="00D557A1" w:rsidRDefault="00D557A1">
      <w:pPr>
        <w:framePr w:w="8427" w:wrap="auto" w:hAnchor="text" w:x="2826" w:y="8413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 xml:space="preserve">Data Analyst, </w:t>
      </w:r>
      <w:r>
        <w:rPr>
          <w:rFonts w:ascii="LMSans10 Oblique" w:hAnsi="LMSans10 Oblique" w:cs="LMSans10 Oblique"/>
          <w:color w:val="000000"/>
          <w:sz w:val="19"/>
          <w:szCs w:val="19"/>
        </w:rPr>
        <w:t>Laboratory for Neurocognitive and Imaging Research at Kennedy</w:t>
      </w:r>
    </w:p>
    <w:p w:rsidR="00D557A1" w:rsidRDefault="00D557A1">
      <w:pPr>
        <w:framePr w:w="8427" w:wrap="auto" w:hAnchor="text" w:x="2826" w:y="8413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Oblique" w:hAnsi="LMSans10 Oblique" w:cs="LMSans10 Oblique"/>
          <w:color w:val="000000"/>
          <w:sz w:val="19"/>
          <w:szCs w:val="19"/>
        </w:rPr>
        <w:t xml:space="preserve">Krieger Institute, </w:t>
      </w:r>
      <w:r>
        <w:rPr>
          <w:rFonts w:ascii="LMSans10 Regular" w:hAnsi="LMSans10 Regular" w:cs="LMSans10 Regular"/>
          <w:color w:val="000000"/>
          <w:sz w:val="19"/>
          <w:szCs w:val="19"/>
        </w:rPr>
        <w:t>Baltimore, MD.</w:t>
      </w:r>
    </w:p>
    <w:p w:rsidR="00D557A1" w:rsidRDefault="00D557A1">
      <w:pPr>
        <w:framePr w:w="4920" w:wrap="auto" w:hAnchor="text" w:x="2826" w:y="896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Analysis of functional MRI (fMRI) imaging studies</w:t>
      </w:r>
    </w:p>
    <w:p w:rsidR="00D557A1" w:rsidRDefault="00D557A1">
      <w:pPr>
        <w:framePr w:w="4920" w:wrap="auto" w:hAnchor="text" w:x="2826" w:y="896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Programming consultant: Matlab &amp; R.</w:t>
      </w:r>
    </w:p>
    <w:p w:rsidR="00D557A1" w:rsidRDefault="00D557A1">
      <w:pPr>
        <w:framePr w:w="4920" w:wrap="auto" w:hAnchor="text" w:x="2826" w:y="896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Participation in the ADHD 200 Competition</w:t>
      </w:r>
    </w:p>
    <w:p w:rsidR="00D557A1" w:rsidRDefault="00D557A1">
      <w:pPr>
        <w:framePr w:w="1118" w:wrap="auto" w:hAnchor="text" w:x="2194" w:y="9749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2008</w:t>
      </w:r>
    </w:p>
    <w:p w:rsidR="00D557A1" w:rsidRDefault="00D557A1">
      <w:pPr>
        <w:framePr w:w="4982" w:wrap="auto" w:hAnchor="text" w:x="2826" w:y="9736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 xml:space="preserve">Intern, </w:t>
      </w:r>
      <w:r>
        <w:rPr>
          <w:rFonts w:ascii="LMSans10 Oblique" w:hAnsi="LMSans10 Oblique" w:cs="LMSans10 Oblique"/>
          <w:color w:val="000000"/>
          <w:sz w:val="19"/>
          <w:szCs w:val="19"/>
        </w:rPr>
        <w:t xml:space="preserve">Analysis &amp; Inference, </w:t>
      </w:r>
      <w:r>
        <w:rPr>
          <w:rFonts w:ascii="LMSans10 Regular" w:hAnsi="LMSans10 Regular" w:cs="LMSans10 Regular"/>
          <w:color w:val="000000"/>
          <w:sz w:val="19"/>
          <w:szCs w:val="19"/>
        </w:rPr>
        <w:t>Swarthmore, PA.</w:t>
      </w:r>
    </w:p>
    <w:p w:rsidR="00D557A1" w:rsidRDefault="00D557A1">
      <w:pPr>
        <w:framePr w:w="8427" w:wrap="auto" w:hAnchor="text" w:x="2826" w:y="10020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Cooperated on statistical projects and conferenced with clients about possible analysis options.</w:t>
      </w:r>
    </w:p>
    <w:p w:rsidR="00D557A1" w:rsidRDefault="00D557A1">
      <w:pPr>
        <w:framePr w:w="8427" w:wrap="auto" w:hAnchor="text" w:x="2826" w:y="10020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Report writing of analyses: Stata</w:t>
      </w:r>
    </w:p>
    <w:p w:rsidR="00D557A1" w:rsidRDefault="00D557A1">
      <w:pPr>
        <w:framePr w:w="8427" w:wrap="auto" w:hAnchor="text" w:x="2826" w:y="10020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Data cleaning</w:t>
      </w:r>
    </w:p>
    <w:p w:rsidR="00D557A1" w:rsidRDefault="00D557A1">
      <w:pPr>
        <w:framePr w:w="1118" w:wrap="auto" w:hAnchor="text" w:x="2194" w:y="1080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2007</w:t>
      </w:r>
    </w:p>
    <w:p w:rsidR="00D557A1" w:rsidRDefault="00D557A1">
      <w:pPr>
        <w:framePr w:w="7085" w:wrap="auto" w:hAnchor="text" w:x="2826" w:y="1078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 xml:space="preserve">Research Intern, </w:t>
      </w:r>
      <w:r>
        <w:rPr>
          <w:rFonts w:ascii="LMSans10 Oblique" w:hAnsi="LMSans10 Oblique" w:cs="LMSans10 Oblique"/>
          <w:color w:val="000000"/>
          <w:sz w:val="19"/>
          <w:szCs w:val="19"/>
        </w:rPr>
        <w:t xml:space="preserve">Dupont Stine-Haskell Laboratory, </w:t>
      </w:r>
      <w:r>
        <w:rPr>
          <w:rFonts w:ascii="LMSans10 Regular" w:hAnsi="LMSans10 Regular" w:cs="LMSans10 Regular"/>
          <w:color w:val="000000"/>
          <w:sz w:val="19"/>
          <w:szCs w:val="19"/>
        </w:rPr>
        <w:t>Wilmington, DE.</w:t>
      </w:r>
    </w:p>
    <w:p w:rsidR="00D557A1" w:rsidRDefault="00D557A1">
      <w:pPr>
        <w:framePr w:w="8427" w:wrap="auto" w:hAnchor="text" w:x="2826" w:y="11072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Developed lab skills and techniques: cell culturing, making and sterilizing broth media, optical</w:t>
      </w:r>
    </w:p>
    <w:p w:rsidR="00D557A1" w:rsidRDefault="00D557A1">
      <w:pPr>
        <w:framePr w:w="8427" w:wrap="auto" w:hAnchor="text" w:x="2826" w:y="11072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density readings, inoculations, quality control, cell counts, screening for fungicidal properties</w:t>
      </w:r>
    </w:p>
    <w:p w:rsidR="00D557A1" w:rsidRDefault="00D557A1">
      <w:pPr>
        <w:framePr w:w="8427" w:wrap="auto" w:hAnchor="text" w:x="2826" w:y="11072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of compounds.</w:t>
      </w:r>
    </w:p>
    <w:p w:rsidR="00D557A1" w:rsidRDefault="00D557A1">
      <w:pPr>
        <w:framePr w:w="2137" w:wrap="auto" w:hAnchor="text" w:x="2826" w:y="1216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2 Regular" w:hAnsi="LMSans12 Regular" w:cs="LMSans12 Regular"/>
          <w:color w:val="3265A5"/>
          <w:sz w:val="25"/>
          <w:szCs w:val="25"/>
        </w:rPr>
        <w:t>Publications</w:t>
      </w:r>
    </w:p>
    <w:p w:rsidR="00D557A1" w:rsidRDefault="00D557A1">
      <w:pPr>
        <w:framePr w:w="934" w:wrap="auto" w:hAnchor="text" w:x="2377" w:y="12512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[1]</w:t>
      </w:r>
    </w:p>
    <w:p w:rsidR="00D557A1" w:rsidRDefault="00D557A1">
      <w:pPr>
        <w:framePr w:w="8607" w:wrap="auto" w:hAnchor="text" w:x="2826" w:y="12512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 xml:space="preserve">H.E. Hinson, E. Melnychuk, </w:t>
      </w:r>
      <w:r>
        <w:rPr>
          <w:rFonts w:ascii="LMSans10 Bold" w:hAnsi="LMSans10 Bold" w:cs="LMSans10 Bold"/>
          <w:color w:val="000000"/>
          <w:sz w:val="18"/>
          <w:szCs w:val="18"/>
        </w:rPr>
        <w:t xml:space="preserve">Muschelli, J., </w:t>
      </w:r>
      <w:r>
        <w:rPr>
          <w:rFonts w:ascii="LMSans10 Regular" w:hAnsi="LMSans10 Regular" w:cs="LMSans10 Regular"/>
          <w:color w:val="000000"/>
          <w:sz w:val="18"/>
          <w:szCs w:val="18"/>
        </w:rPr>
        <w:t>D.F. Hanley, I.A. Awad, and W.C. Ziai. Drainage</w:t>
      </w:r>
    </w:p>
    <w:p w:rsidR="00D557A1" w:rsidRDefault="00D557A1">
      <w:pPr>
        <w:framePr w:w="8607" w:wrap="auto" w:hAnchor="text" w:x="2826" w:y="12512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 xml:space="preserve">eﬃciency with dual versus single catheters in severe intraventricular hemorrhage. </w:t>
      </w:r>
      <w:r>
        <w:rPr>
          <w:rFonts w:ascii="LMSans10 Oblique" w:hAnsi="LMSans10 Oblique" w:cs="LMSans10 Oblique"/>
          <w:color w:val="000000"/>
          <w:sz w:val="18"/>
          <w:szCs w:val="18"/>
        </w:rPr>
        <w:t>Neurocritical</w:t>
      </w:r>
    </w:p>
    <w:p w:rsidR="00D557A1" w:rsidRDefault="00D557A1">
      <w:pPr>
        <w:framePr w:w="8607" w:wrap="auto" w:hAnchor="text" w:x="2826" w:y="12512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Oblique" w:hAnsi="LMSans10 Oblique" w:cs="LMSans10 Oblique"/>
          <w:color w:val="000000"/>
          <w:sz w:val="18"/>
          <w:szCs w:val="18"/>
        </w:rPr>
        <w:t xml:space="preserve">Care, </w:t>
      </w:r>
      <w:r>
        <w:rPr>
          <w:rFonts w:ascii="LMSans10 Regular" w:hAnsi="LMSans10 Regular" w:cs="LMSans10 Regular"/>
          <w:color w:val="000000"/>
          <w:sz w:val="18"/>
          <w:szCs w:val="18"/>
        </w:rPr>
        <w:t>pages 1–7, 2011.</w:t>
      </w:r>
    </w:p>
    <w:p w:rsidR="00D557A1" w:rsidRDefault="00D557A1">
      <w:pPr>
        <w:framePr w:w="8607" w:wrap="auto" w:hAnchor="text" w:x="2826" w:y="13349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 xml:space="preserve">J. Jaﬀe, E. Melnychuk, </w:t>
      </w:r>
      <w:r>
        <w:rPr>
          <w:rFonts w:ascii="LMSans10 Bold" w:hAnsi="LMSans10 Bold" w:cs="LMSans10 Bold"/>
          <w:color w:val="000000"/>
          <w:sz w:val="18"/>
          <w:szCs w:val="18"/>
        </w:rPr>
        <w:t xml:space="preserve">Muschelli, J., </w:t>
      </w:r>
      <w:r>
        <w:rPr>
          <w:rFonts w:ascii="LMSans10 Regular" w:hAnsi="LMSans10 Regular" w:cs="LMSans10 Regular"/>
          <w:color w:val="000000"/>
          <w:sz w:val="18"/>
          <w:szCs w:val="18"/>
        </w:rPr>
        <w:t>W. Ziai, T. Morgan, D.F. Hanley, and I.A. Awad.</w:t>
      </w:r>
    </w:p>
    <w:p w:rsidR="00D557A1" w:rsidRDefault="00D557A1">
      <w:pPr>
        <w:framePr w:w="8607" w:wrap="auto" w:hAnchor="text" w:x="2826" w:y="13349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 xml:space="preserve">Ventricular catheter location and the clearance of intraventricular hemorrhage. </w:t>
      </w:r>
      <w:r>
        <w:rPr>
          <w:rFonts w:ascii="LMSans10 Oblique" w:hAnsi="LMSans10 Oblique" w:cs="LMSans10 Oblique"/>
          <w:color w:val="000000"/>
          <w:sz w:val="18"/>
          <w:szCs w:val="18"/>
        </w:rPr>
        <w:t>Neurosurgery,</w:t>
      </w:r>
    </w:p>
    <w:p w:rsidR="00D557A1" w:rsidRDefault="00D557A1">
      <w:pPr>
        <w:framePr w:w="8607" w:wrap="auto" w:hAnchor="text" w:x="2826" w:y="13349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2011.</w:t>
      </w:r>
    </w:p>
    <w:p w:rsidR="00D557A1" w:rsidRDefault="00D557A1">
      <w:pPr>
        <w:framePr w:w="8607" w:wrap="auto" w:hAnchor="text" w:x="2826" w:y="14186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 xml:space="preserve">D.W. Newell, M.M. Shah, R. Wilcox, D.R. Hansmann, E. Melnychuk, </w:t>
      </w:r>
      <w:r>
        <w:rPr>
          <w:rFonts w:ascii="LMSans10 Bold" w:hAnsi="LMSans10 Bold" w:cs="LMSans10 Bold"/>
          <w:color w:val="000000"/>
          <w:sz w:val="18"/>
          <w:szCs w:val="18"/>
        </w:rPr>
        <w:t xml:space="preserve">Muschelli, J., </w:t>
      </w:r>
      <w:r>
        <w:rPr>
          <w:rFonts w:ascii="LMSans10 Regular" w:hAnsi="LMSans10 Regular" w:cs="LMSans10 Regular"/>
          <w:color w:val="000000"/>
          <w:sz w:val="18"/>
          <w:szCs w:val="18"/>
        </w:rPr>
        <w:t>and</w:t>
      </w:r>
    </w:p>
    <w:p w:rsidR="00D557A1" w:rsidRDefault="00D557A1">
      <w:pPr>
        <w:framePr w:w="8607" w:wrap="auto" w:hAnchor="text" w:x="2826" w:y="14186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D.F. Hanley. Minimally invasive evacuation of spontaneous intracerebral hemorrhage using</w:t>
      </w:r>
    </w:p>
    <w:p w:rsidR="00D557A1" w:rsidRDefault="00D557A1">
      <w:pPr>
        <w:framePr w:w="8607" w:wrap="auto" w:hAnchor="text" w:x="2826" w:y="14186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 xml:space="preserve">sonothrombolysis. </w:t>
      </w:r>
      <w:r>
        <w:rPr>
          <w:rFonts w:ascii="LMSans10 Oblique" w:hAnsi="LMSans10 Oblique" w:cs="LMSans10 Oblique"/>
          <w:color w:val="000000"/>
          <w:sz w:val="18"/>
          <w:szCs w:val="18"/>
        </w:rPr>
        <w:t xml:space="preserve">Journal of neurosurgery, </w:t>
      </w:r>
      <w:r>
        <w:rPr>
          <w:rFonts w:ascii="LMSans10 Regular" w:hAnsi="LMSans10 Regular" w:cs="LMSans10 Regular"/>
          <w:color w:val="000000"/>
          <w:sz w:val="18"/>
          <w:szCs w:val="18"/>
        </w:rPr>
        <w:t>pages 1–10, 2011.</w:t>
      </w:r>
    </w:p>
    <w:p w:rsidR="00D557A1" w:rsidRDefault="00D557A1">
      <w:pPr>
        <w:framePr w:w="934" w:wrap="auto" w:hAnchor="text" w:x="2377" w:y="13349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[2]</w:t>
      </w:r>
    </w:p>
    <w:p w:rsidR="00D557A1" w:rsidRDefault="00D557A1">
      <w:pPr>
        <w:framePr w:w="934" w:wrap="auto" w:hAnchor="text" w:x="2377" w:y="14186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[3]</w:t>
      </w:r>
    </w:p>
    <w:p w:rsidR="00D557A1" w:rsidRDefault="00D557A1">
      <w:pPr>
        <w:framePr w:w="5113" w:wrap="auto" w:hAnchor="text" w:x="3778" w:y="1512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Oblique" w:hAnsi="LMSans10 Oblique" w:cs="LMSans10 Oblique"/>
          <w:color w:val="595959"/>
          <w:sz w:val="19"/>
          <w:szCs w:val="19"/>
        </w:rPr>
        <w:t>2221 E Lombard Street, Baltimore MD – 21231</w:t>
      </w:r>
    </w:p>
    <w:p w:rsidR="00D557A1" w:rsidRDefault="00D557A1">
      <w:pPr>
        <w:framePr w:w="5113" w:wrap="auto" w:hAnchor="text" w:x="3778" w:y="1512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MarVoSym" w:hAnsi="MarVoSym" w:cs="MarVoSym"/>
          <w:color w:val="595959"/>
          <w:sz w:val="19"/>
          <w:szCs w:val="19"/>
        </w:rPr>
        <w:t xml:space="preserve">Cell: </w:t>
      </w:r>
      <w:r>
        <w:rPr>
          <w:rFonts w:ascii="LMSans10 Oblique" w:hAnsi="LMSans10 Oblique" w:cs="LMSans10 Oblique"/>
          <w:color w:val="595959"/>
          <w:sz w:val="19"/>
          <w:szCs w:val="19"/>
        </w:rPr>
        <w:t xml:space="preserve">610-291-7685 </w:t>
      </w:r>
      <w:r>
        <w:rPr>
          <w:rFonts w:ascii="CMSY10" w:hAnsi="CMSY10" w:cs="CMSY10"/>
          <w:color w:val="3F7FBF"/>
          <w:sz w:val="19"/>
          <w:szCs w:val="19"/>
        </w:rPr>
        <w:t xml:space="preserve">• </w:t>
      </w:r>
      <w:r>
        <w:rPr>
          <w:rFonts w:ascii="MarVoSym" w:hAnsi="MarVoSym" w:cs="MarVoSym"/>
          <w:color w:val="595959"/>
          <w:sz w:val="19"/>
          <w:szCs w:val="19"/>
        </w:rPr>
        <w:t xml:space="preserve">E-mail: </w:t>
      </w:r>
      <w:r>
        <w:rPr>
          <w:rFonts w:ascii="LMSans10 Oblique" w:hAnsi="LMSans10 Oblique" w:cs="LMSans10 Oblique"/>
          <w:color w:val="595959"/>
          <w:sz w:val="19"/>
          <w:szCs w:val="19"/>
        </w:rPr>
        <w:t>muschellij2@gmail.com</w:t>
      </w:r>
    </w:p>
    <w:p w:rsidR="00D557A1" w:rsidRDefault="00D557A1">
      <w:pPr>
        <w:framePr w:w="996" w:wrap="auto" w:hAnchor="text" w:x="10437" w:y="1544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9 Oblique" w:hAnsi="LMSans9 Oblique" w:cs="LMSans9 Oblique"/>
          <w:color w:val="595959"/>
          <w:sz w:val="16"/>
          <w:szCs w:val="16"/>
        </w:rPr>
        <w:t>1/2</w:t>
      </w:r>
    </w:p>
    <w:p w:rsidR="00D557A1" w:rsidRDefault="00D557A1">
      <w:pPr>
        <w:widowControl w:val="0"/>
        <w:autoSpaceDE w:val="0"/>
        <w:autoSpaceDN w:val="0"/>
        <w:adjustRightInd w:val="0"/>
        <w:rPr>
          <w:rFonts w:ascii="Times New Roman" w:hAnsi="Times New Roman"/>
        </w:rPr>
        <w:sectPr w:rsidR="00D557A1">
          <w:pgSz w:w="11905" w:h="16829"/>
          <w:pgMar w:top="0" w:right="0" w:bottom="0" w:left="0" w:gutter="0"/>
          <w:noEndnote/>
        </w:sectPr>
      </w:pPr>
    </w:p>
    <w:p w:rsidR="00D557A1" w:rsidRDefault="003D7954">
      <w:pPr>
        <w:framePr w:w="934" w:wrap="auto" w:hAnchor="text" w:x="2377" w:y="142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86415"/>
            <wp:effectExtent l="2540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557A1">
        <w:rPr>
          <w:rFonts w:ascii="LMSans10 Regular" w:hAnsi="LMSans10 Regular" w:cs="LMSans10 Regular"/>
          <w:color w:val="000000"/>
          <w:sz w:val="18"/>
          <w:szCs w:val="18"/>
        </w:rPr>
        <w:t>[4]</w:t>
      </w:r>
    </w:p>
    <w:p w:rsidR="00D557A1" w:rsidRDefault="00D557A1">
      <w:pPr>
        <w:framePr w:w="8607" w:wrap="auto" w:hAnchor="text" w:x="2826" w:y="142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 xml:space="preserve">M.F. Niedner, W.C. Huskins, E. Colantuoni, </w:t>
      </w:r>
      <w:r>
        <w:rPr>
          <w:rFonts w:ascii="LMSans10 Bold" w:hAnsi="LMSans10 Bold" w:cs="LMSans10 Bold"/>
          <w:color w:val="000000"/>
          <w:sz w:val="18"/>
          <w:szCs w:val="18"/>
        </w:rPr>
        <w:t xml:space="preserve">Muschelli, J., </w:t>
      </w:r>
      <w:r>
        <w:rPr>
          <w:rFonts w:ascii="LMSans10 Regular" w:hAnsi="LMSans10 Regular" w:cs="LMSans10 Regular"/>
          <w:color w:val="000000"/>
          <w:sz w:val="18"/>
          <w:szCs w:val="18"/>
        </w:rPr>
        <w:t>JM Ii, T.B. Rice, R.J. Brilli, and</w:t>
      </w:r>
    </w:p>
    <w:p w:rsidR="00D557A1" w:rsidRDefault="00D557A1">
      <w:pPr>
        <w:framePr w:w="8607" w:wrap="auto" w:hAnchor="text" w:x="2826" w:y="142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M.R. Miller. Epidemiology of central line-associated bloodstream infections in the pediatric</w:t>
      </w:r>
    </w:p>
    <w:p w:rsidR="00D557A1" w:rsidRDefault="00D557A1">
      <w:pPr>
        <w:framePr w:w="8607" w:wrap="auto" w:hAnchor="text" w:x="2826" w:y="142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 xml:space="preserve">intensive care unit. </w:t>
      </w:r>
      <w:r>
        <w:rPr>
          <w:rFonts w:ascii="LMSans10 Oblique" w:hAnsi="LMSans10 Oblique" w:cs="LMSans10 Oblique"/>
          <w:color w:val="000000"/>
          <w:sz w:val="18"/>
          <w:szCs w:val="18"/>
        </w:rPr>
        <w:t>Infection control and hospital epidemiology: the oﬃcial journal of the</w:t>
      </w:r>
    </w:p>
    <w:p w:rsidR="00D557A1" w:rsidRDefault="00D557A1">
      <w:pPr>
        <w:framePr w:w="8607" w:wrap="auto" w:hAnchor="text" w:x="2826" w:y="142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Oblique" w:hAnsi="LMSans10 Oblique" w:cs="LMSans10 Oblique"/>
          <w:color w:val="000000"/>
          <w:sz w:val="18"/>
          <w:szCs w:val="18"/>
        </w:rPr>
        <w:t xml:space="preserve">Society of Hospital Epidemiologists of America, </w:t>
      </w:r>
      <w:r>
        <w:rPr>
          <w:rFonts w:ascii="LMSans10 Regular" w:hAnsi="LMSans10 Regular" w:cs="LMSans10 Regular"/>
          <w:color w:val="000000"/>
          <w:sz w:val="18"/>
          <w:szCs w:val="18"/>
        </w:rPr>
        <w:t>32(12):1200, 2011.</w:t>
      </w:r>
    </w:p>
    <w:p w:rsidR="00D557A1" w:rsidRDefault="00D557A1">
      <w:pPr>
        <w:framePr w:w="2515" w:wrap="auto" w:hAnchor="text" w:x="2826" w:y="267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2 Regular" w:hAnsi="LMSans12 Regular" w:cs="LMSans12 Regular"/>
          <w:color w:val="3265A5"/>
          <w:sz w:val="25"/>
          <w:szCs w:val="25"/>
        </w:rPr>
        <w:t>Computer skills</w:t>
      </w:r>
    </w:p>
    <w:p w:rsidR="00D557A1" w:rsidRDefault="00D557A1">
      <w:pPr>
        <w:framePr w:w="1528" w:wrap="auto" w:hAnchor="text" w:x="1781" w:y="309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8"/>
          <w:szCs w:val="18"/>
        </w:rPr>
        <w:t>Scripting</w:t>
      </w:r>
    </w:p>
    <w:p w:rsidR="00D557A1" w:rsidRDefault="00D557A1">
      <w:pPr>
        <w:framePr w:w="1949" w:wrap="auto" w:hAnchor="text" w:x="1360" w:y="360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8"/>
          <w:szCs w:val="18"/>
        </w:rPr>
        <w:t>Programming</w:t>
      </w:r>
    </w:p>
    <w:p w:rsidR="00D557A1" w:rsidRDefault="00D557A1">
      <w:pPr>
        <w:framePr w:w="3756" w:wrap="auto" w:hAnchor="text" w:x="2826" w:y="309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Proﬁcient: R, Stata, Matlab, Novice:</w:t>
      </w:r>
    </w:p>
    <w:p w:rsidR="00D557A1" w:rsidRDefault="00D557A1">
      <w:pPr>
        <w:framePr w:w="3756" w:wrap="auto" w:hAnchor="text" w:x="2826" w:y="309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SAS</w:t>
      </w:r>
    </w:p>
    <w:p w:rsidR="00D557A1" w:rsidRDefault="00D557A1">
      <w:pPr>
        <w:framePr w:w="3756" w:wrap="auto" w:hAnchor="text" w:x="2826" w:y="309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C++, Visual Basic</w:t>
      </w:r>
    </w:p>
    <w:p w:rsidR="00D557A1" w:rsidRDefault="00D557A1">
      <w:pPr>
        <w:framePr w:w="1416" w:wrap="auto" w:hAnchor="text" w:x="6567" w:y="309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8"/>
          <w:szCs w:val="18"/>
        </w:rPr>
        <w:t>Markup</w:t>
      </w:r>
    </w:p>
    <w:p w:rsidR="00D557A1" w:rsidRDefault="00D557A1">
      <w:pPr>
        <w:framePr w:w="1813" w:wrap="auto" w:hAnchor="text" w:x="7497" w:y="309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TeX, LaTeX, BibTeX, TeXShop,</w:t>
      </w:r>
    </w:p>
    <w:p w:rsidR="00D557A1" w:rsidRDefault="00D557A1">
      <w:pPr>
        <w:framePr w:w="1412" w:wrap="auto" w:hAnchor="text" w:x="8809" w:y="309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,</w:t>
      </w:r>
    </w:p>
    <w:p w:rsidR="00D557A1" w:rsidRDefault="00D557A1">
      <w:pPr>
        <w:framePr w:w="1531" w:wrap="auto" w:hAnchor="text" w:x="9722" w:y="309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</w:p>
    <w:p w:rsidR="00D557A1" w:rsidRDefault="00D557A1">
      <w:pPr>
        <w:framePr w:w="2981" w:wrap="auto" w:hAnchor="text" w:x="2826" w:y="4424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2 Regular" w:hAnsi="LMSans12 Regular" w:cs="LMSans12 Regular"/>
          <w:color w:val="3265A5"/>
          <w:sz w:val="25"/>
          <w:szCs w:val="25"/>
        </w:rPr>
        <w:t>Honors and Awards</w:t>
      </w:r>
    </w:p>
    <w:p w:rsidR="00D557A1" w:rsidRDefault="00D557A1">
      <w:pPr>
        <w:framePr w:w="1616" w:wrap="auto" w:hAnchor="text" w:x="1696" w:y="4807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2007–2008</w:t>
      </w:r>
    </w:p>
    <w:p w:rsidR="00D557A1" w:rsidRDefault="00D557A1">
      <w:pPr>
        <w:framePr w:w="1616" w:wrap="auto" w:hAnchor="text" w:x="1696" w:y="5133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2004–2008</w:t>
      </w:r>
    </w:p>
    <w:p w:rsidR="00D557A1" w:rsidRDefault="00D557A1">
      <w:pPr>
        <w:framePr w:w="1118" w:wrap="auto" w:hAnchor="text" w:x="2194" w:y="5458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2004</w:t>
      </w:r>
    </w:p>
    <w:p w:rsidR="00D557A1" w:rsidRDefault="00D557A1">
      <w:pPr>
        <w:framePr w:w="1118" w:wrap="auto" w:hAnchor="text" w:x="2194" w:y="5784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2008</w:t>
      </w:r>
    </w:p>
    <w:p w:rsidR="00D557A1" w:rsidRPr="00026B3F" w:rsidRDefault="00D557A1" w:rsidP="00D557A1">
      <w:pPr>
        <w:framePr w:w="5362" w:wrap="auto" w:hAnchor="text" w:x="2826" w:y="4794"/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>Presidential Scholar (Full Tuition Scholarship).</w:t>
      </w:r>
    </w:p>
    <w:p w:rsidR="00D557A1" w:rsidRPr="00026B3F" w:rsidRDefault="00D557A1" w:rsidP="00D557A1">
      <w:pPr>
        <w:framePr w:w="5362" w:wrap="auto" w:hAnchor="text" w:x="2826" w:y="4794"/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>Dean’s List.</w:t>
      </w:r>
    </w:p>
    <w:p w:rsidR="00D557A1" w:rsidRPr="00026B3F" w:rsidRDefault="00D557A1" w:rsidP="00D557A1">
      <w:pPr>
        <w:framePr w:w="5362" w:wrap="auto" w:hAnchor="text" w:x="2826" w:y="4794"/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>Alpha Lambda Delta.</w:t>
      </w:r>
    </w:p>
    <w:p w:rsidR="00D557A1" w:rsidRDefault="00D557A1" w:rsidP="00D557A1">
      <w:pPr>
        <w:framePr w:w="5362" w:wrap="auto" w:hAnchor="text" w:x="2826" w:y="4794"/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>Alpha Sigma Nu.</w:t>
      </w:r>
    </w:p>
    <w:p w:rsidR="00D557A1" w:rsidRDefault="00D557A1">
      <w:pPr>
        <w:framePr w:w="2752" w:wrap="auto" w:hAnchor="text" w:x="2826" w:y="6607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2 Regular" w:hAnsi="LMSans12 Regular" w:cs="LMSans12 Regular"/>
          <w:color w:val="3265A5"/>
          <w:sz w:val="25"/>
          <w:szCs w:val="25"/>
        </w:rPr>
        <w:t>Academic Service</w:t>
      </w:r>
    </w:p>
    <w:p w:rsidR="00D557A1" w:rsidRDefault="00D557A1">
      <w:pPr>
        <w:framePr w:w="1841" w:wrap="auto" w:hAnchor="text" w:x="1470" w:y="697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2010–Present</w:t>
      </w:r>
    </w:p>
    <w:p w:rsidR="00D557A1" w:rsidRDefault="00D557A1">
      <w:pPr>
        <w:framePr w:w="6373" w:wrap="auto" w:hAnchor="text" w:x="2826" w:y="696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Bold" w:hAnsi="LMSans10 Bold" w:cs="LMSans10 Bold"/>
          <w:color w:val="000000"/>
          <w:sz w:val="19"/>
          <w:szCs w:val="19"/>
        </w:rPr>
        <w:t xml:space="preserve">Mentor, Head of Household, </w:t>
      </w:r>
      <w:r>
        <w:rPr>
          <w:rFonts w:ascii="LMSans10 Oblique" w:hAnsi="LMSans10 Oblique" w:cs="LMSans10 Oblique"/>
          <w:color w:val="000000"/>
          <w:sz w:val="19"/>
          <w:szCs w:val="19"/>
        </w:rPr>
        <w:t>Incentive Mentoring Program.</w:t>
      </w:r>
    </w:p>
    <w:p w:rsidR="00D557A1" w:rsidRDefault="00D557A1">
      <w:pPr>
        <w:framePr w:w="8427" w:wrap="auto" w:hAnchor="text" w:x="2826" w:y="724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Mentor and tutor a student from Dunbar High School, teaching coursework, life skills, support</w:t>
      </w:r>
    </w:p>
    <w:p w:rsidR="00D557A1" w:rsidRDefault="00D557A1">
      <w:pPr>
        <w:framePr w:w="8427" w:wrap="auto" w:hAnchor="text" w:x="2826" w:y="724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Regular" w:hAnsi="LMSans10 Regular" w:cs="LMSans10 Regular"/>
          <w:color w:val="000000"/>
          <w:sz w:val="18"/>
          <w:szCs w:val="18"/>
        </w:rPr>
        <w:t>as needed.</w:t>
      </w:r>
    </w:p>
    <w:p w:rsidR="00D557A1" w:rsidRDefault="00D557A1">
      <w:pPr>
        <w:framePr w:w="5113" w:wrap="auto" w:hAnchor="text" w:x="3778" w:y="1512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10 Oblique" w:hAnsi="LMSans10 Oblique" w:cs="LMSans10 Oblique"/>
          <w:color w:val="595959"/>
          <w:sz w:val="19"/>
          <w:szCs w:val="19"/>
        </w:rPr>
        <w:t>2221 E Lombard Street, Baltimore MD – 21231</w:t>
      </w:r>
    </w:p>
    <w:p w:rsidR="00D557A1" w:rsidRDefault="00D557A1">
      <w:pPr>
        <w:framePr w:w="5113" w:wrap="auto" w:hAnchor="text" w:x="3778" w:y="15125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MarVoSym" w:hAnsi="MarVoSym" w:cs="MarVoSym"/>
          <w:color w:val="595959"/>
          <w:sz w:val="19"/>
          <w:szCs w:val="19"/>
        </w:rPr>
        <w:t xml:space="preserve">Cell: </w:t>
      </w:r>
      <w:r>
        <w:rPr>
          <w:rFonts w:ascii="LMSans10 Oblique" w:hAnsi="LMSans10 Oblique" w:cs="LMSans10 Oblique"/>
          <w:color w:val="595959"/>
          <w:sz w:val="19"/>
          <w:szCs w:val="19"/>
        </w:rPr>
        <w:t xml:space="preserve">610-291-7685 </w:t>
      </w:r>
      <w:r>
        <w:rPr>
          <w:rFonts w:ascii="CMSY10" w:hAnsi="CMSY10" w:cs="CMSY10"/>
          <w:color w:val="3F7FBF"/>
          <w:sz w:val="19"/>
          <w:szCs w:val="19"/>
        </w:rPr>
        <w:t>•</w:t>
      </w:r>
      <w:r>
        <w:rPr>
          <w:rFonts w:ascii="LMSans10 Oblique" w:hAnsi="LMSans10 Oblique" w:cs="LMSans10 Oblique"/>
          <w:color w:val="595959"/>
          <w:sz w:val="19"/>
          <w:szCs w:val="19"/>
        </w:rPr>
        <w:t xml:space="preserve"> E-mail:</w:t>
      </w:r>
      <w:r>
        <w:rPr>
          <w:rFonts w:ascii="MarVoSym" w:hAnsi="MarVoSym" w:cs="MarVoSym"/>
          <w:color w:val="595959"/>
          <w:sz w:val="19"/>
          <w:szCs w:val="19"/>
        </w:rPr>
        <w:t xml:space="preserve"> </w:t>
      </w:r>
      <w:r>
        <w:rPr>
          <w:rFonts w:ascii="LMSans10 Oblique" w:hAnsi="LMSans10 Oblique" w:cs="LMSans10 Oblique"/>
          <w:color w:val="595959"/>
          <w:sz w:val="19"/>
          <w:szCs w:val="19"/>
        </w:rPr>
        <w:t>muschellij2@gmail.com</w:t>
      </w:r>
    </w:p>
    <w:p w:rsidR="00D557A1" w:rsidRDefault="00D557A1">
      <w:pPr>
        <w:framePr w:w="996" w:wrap="auto" w:hAnchor="text" w:x="10437" w:y="15441"/>
        <w:widowControl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LMSans9 Oblique" w:hAnsi="LMSans9 Oblique" w:cs="LMSans9 Oblique"/>
          <w:color w:val="595959"/>
          <w:sz w:val="16"/>
          <w:szCs w:val="16"/>
        </w:rPr>
        <w:t>2/2</w:t>
      </w:r>
    </w:p>
    <w:p w:rsidR="00D557A1" w:rsidRDefault="00D557A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sectPr w:rsidR="00D557A1">
      <w:pgSz w:w="11905" w:h="16829"/>
      <w:pgMar w:top="0" w:right="0" w:bottom="0" w:left="0" w:gutter="0"/>
      <w:docGrid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MSans17 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MSans12 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MSans10 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MSans10 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MSans10 Obliqu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rVoSym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MSY1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MSans9 Obliqu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BAC1E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0542A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FF425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2404E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032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30482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B5AC6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41212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12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9A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D6CD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026B3F"/>
    <w:rsid w:val="003D7954"/>
    <w:rsid w:val="00D557A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cp:lastModifiedBy>John</cp:lastModifiedBy>
  <cp:revision>2</cp:revision>
  <dcterms:created xsi:type="dcterms:W3CDTF">2012-02-07T06:01:00Z</dcterms:created>
  <dcterms:modified xsi:type="dcterms:W3CDTF">2012-02-07T06:01:00Z</dcterms:modified>
</cp:coreProperties>
</file>