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2"/>
          <w:sz-cs w:val="32"/>
        </w:rPr>
        <w:t xml:space="preserve">STAR FRONTIER — Legacy Migration Notes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Sprint 1 Stage 2A rule: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Do not delete or rewrite Stage 1 systems during Sprint 1.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Keep: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combat loop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NPC logic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projectile logic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player movement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prefabs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scenes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- old configs used by Stage 1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New Stage 2A systems live separately in: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Assets/_StarFrontier/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Migration path: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1. Keep legacy code stable.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2. Build new ServiceRegistry / SimpleEventBus / TickService foundation.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3. Use BootScene as new controlled entry point.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4. Keep StarSystemScene clean from old combat objects for now.</w:t>
      </w:r>
    </w:p>
    <w:p>
      <w:pPr/>
      <w:r>
        <w:rPr>
          <w:rFonts w:ascii="Helvetica Neue" w:hAnsi="Helvetica Neue" w:cs="Helvetica Neue"/>
          <w:sz w:val="32"/>
          <w:sz-cs w:val="32"/>
        </w:rPr>
        <w:t xml:space="preserve">5. Migrate old systems only through separate sprint tasks.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CocoaOOXMLWriter/2299.6</generator>
</meta>
</file>