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494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50"/>
        <w:gridCol w:w="4090"/>
        <w:tblGridChange w:id="0">
          <w:tblGrid>
            <w:gridCol w:w="10850"/>
            <w:gridCol w:w="4090"/>
          </w:tblGrid>
        </w:tblGridChange>
      </w:tblGrid>
      <w:tr>
        <w:trPr>
          <w:cantSplit w:val="0"/>
          <w:tblHeader w:val="0"/>
        </w:trPr>
        <w:tc>
          <w:tcPr>
            <w:shd w:fill="fabf8f" w:val="clear"/>
            <w:vAlign w:val="top"/>
          </w:tcPr>
          <w:p w:rsidR="00000000" w:rsidDel="00000000" w:rsidP="00000000" w:rsidRDefault="00000000" w:rsidRPr="00000000" w14:paraId="00000002">
            <w:pPr>
              <w:jc w:val="both"/>
              <w:rPr>
                <w:rFonts w:ascii="Arial" w:cs="Arial" w:eastAsia="Arial" w:hAnsi="Arial"/>
                <w:b w:val="0"/>
                <w:sz w:val="16"/>
                <w:szCs w:val="16"/>
                <w:vertAlign w:val="baseline"/>
              </w:rPr>
            </w:pPr>
            <w:r w:rsidDel="00000000" w:rsidR="00000000" w:rsidRPr="00000000">
              <w:rPr>
                <w:rFonts w:ascii="Arial" w:cs="Arial" w:eastAsia="Arial" w:hAnsi="Arial"/>
                <w:b w:val="1"/>
                <w:sz w:val="16"/>
                <w:szCs w:val="16"/>
                <w:vertAlign w:val="baseline"/>
                <w:rtl w:val="0"/>
              </w:rPr>
              <w:t xml:space="preserve">OBJETIVOS</w:t>
            </w:r>
            <w:r w:rsidDel="00000000" w:rsidR="00000000" w:rsidRPr="00000000">
              <w:rPr>
                <w:rtl w:val="0"/>
              </w:rPr>
            </w:r>
          </w:p>
        </w:tc>
        <w:tc>
          <w:tcPr>
            <w:shd w:fill="fabf8f" w:val="clear"/>
            <w:vAlign w:val="top"/>
          </w:tcPr>
          <w:p w:rsidR="00000000" w:rsidDel="00000000" w:rsidP="00000000" w:rsidRDefault="00000000" w:rsidRPr="00000000" w14:paraId="00000003">
            <w:pPr>
              <w:jc w:val="center"/>
              <w:rPr>
                <w:rFonts w:ascii="Arial" w:cs="Arial" w:eastAsia="Arial" w:hAnsi="Arial"/>
                <w:b w:val="0"/>
                <w:sz w:val="16"/>
                <w:szCs w:val="16"/>
                <w:vertAlign w:val="baseline"/>
              </w:rPr>
            </w:pPr>
            <w:r w:rsidDel="00000000" w:rsidR="00000000" w:rsidRPr="00000000">
              <w:rPr>
                <w:rFonts w:ascii="Arial" w:cs="Arial" w:eastAsia="Arial" w:hAnsi="Arial"/>
                <w:b w:val="1"/>
                <w:sz w:val="16"/>
                <w:szCs w:val="16"/>
                <w:vertAlign w:val="baseline"/>
                <w:rtl w:val="0"/>
              </w:rPr>
              <w:t xml:space="preserve">CONTENIDOS</w:t>
            </w:r>
            <w:r w:rsidDel="00000000" w:rsidR="00000000" w:rsidRPr="00000000">
              <w:rPr>
                <w:rtl w:val="0"/>
              </w:rPr>
            </w:r>
          </w:p>
        </w:tc>
      </w:tr>
      <w:tr>
        <w:trPr>
          <w:cantSplit w:val="0"/>
          <w:trHeight w:val="1385" w:hRule="atLeast"/>
          <w:tblHeader w:val="0"/>
        </w:trPr>
        <w:tc>
          <w:tcPr>
            <w:tcBorders>
              <w:bottom w:color="000000" w:space="0" w:sz="4" w:val="single"/>
            </w:tcBorders>
            <w:vAlign w:val="top"/>
          </w:tcPr>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Identificar necesidades del sector productivo, relacionándolas con proyectos tipo que puedan satisfacerlas.</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Diseñar proyectos relacionados con las competencias expresadas en el título, desarrollando explícitamente las fases que lo componen.</w:t>
            </w:r>
          </w:p>
          <w:p w:rsidR="00000000" w:rsidDel="00000000" w:rsidP="00000000" w:rsidRDefault="00000000" w:rsidRPr="00000000" w14:paraId="00000006">
            <w:pPr>
              <w:numPr>
                <w:ilvl w:val="0"/>
                <w:numId w:val="3"/>
              </w:numPr>
              <w:ind w:left="360" w:hanging="360"/>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Planificar la ejecución del proyecto, determinando el plan de intervención y la documentación asociada. </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Definir los procedimientos para el seguimiento y control en la ejecución del proyecto, justificando la selección de variables e instrumentos empleados.</w:t>
            </w:r>
          </w:p>
        </w:tc>
        <w:tc>
          <w:tcPr>
            <w:tcBorders>
              <w:bottom w:color="000000" w:space="0" w:sz="4" w:val="single"/>
            </w:tcBorders>
            <w:vAlign w:val="top"/>
          </w:tcPr>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Anteproyecto: </w:t>
            </w:r>
            <w:r w:rsidDel="00000000" w:rsidR="00000000" w:rsidRPr="00000000">
              <w:rPr>
                <w:rFonts w:ascii="Arial" w:cs="Arial" w:eastAsia="Arial" w:hAnsi="Arial"/>
                <w:i w:val="1"/>
                <w:sz w:val="16"/>
                <w:szCs w:val="16"/>
                <w:rtl w:val="0"/>
              </w:rPr>
              <w:t xml:space="preserve">7</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de noviembre de 202</w:t>
            </w:r>
            <w:r w:rsidDel="00000000" w:rsidR="00000000" w:rsidRPr="00000000">
              <w:rPr>
                <w:rFonts w:ascii="Arial" w:cs="Arial" w:eastAsia="Arial" w:hAnsi="Arial"/>
                <w:i w:val="1"/>
                <w:sz w:val="16"/>
                <w:szCs w:val="16"/>
                <w:rtl w:val="0"/>
              </w:rPr>
              <w:t xml:space="preserve">2</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Entrega 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i w:val="1"/>
                <w:sz w:val="16"/>
                <w:szCs w:val="16"/>
                <w:rtl w:val="0"/>
              </w:rPr>
              <w:t xml:space="preserve">12 de diciembre de 2022</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Entrega 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i w:val="1"/>
                <w:sz w:val="16"/>
                <w:szCs w:val="16"/>
                <w:rtl w:val="0"/>
              </w:rPr>
              <w:t xml:space="preserve">13 de febrero de 2023</w:t>
            </w:r>
          </w:p>
          <w:p w:rsidR="00000000" w:rsidDel="00000000" w:rsidP="00000000" w:rsidRDefault="00000000" w:rsidRPr="00000000" w14:paraId="0000000B">
            <w:pPr>
              <w:numPr>
                <w:ilvl w:val="0"/>
                <w:numId w:val="2"/>
              </w:numPr>
              <w:ind w:left="360"/>
              <w:rPr>
                <w:rFonts w:ascii="Arial" w:cs="Arial" w:eastAsia="Arial" w:hAnsi="Arial"/>
                <w:i w:val="1"/>
                <w:sz w:val="16"/>
                <w:szCs w:val="16"/>
              </w:rPr>
            </w:pPr>
            <w:r w:rsidDel="00000000" w:rsidR="00000000" w:rsidRPr="00000000">
              <w:rPr>
                <w:rFonts w:ascii="Arial" w:cs="Arial" w:eastAsia="Arial" w:hAnsi="Arial"/>
                <w:b w:val="1"/>
                <w:sz w:val="16"/>
                <w:szCs w:val="16"/>
                <w:rtl w:val="0"/>
              </w:rPr>
              <w:t xml:space="preserve">Entrega 3:</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i w:val="1"/>
                <w:sz w:val="16"/>
                <w:szCs w:val="16"/>
                <w:rtl w:val="0"/>
              </w:rPr>
              <w:t xml:space="preserve">17 de abril de 2023</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Entrega final del proyecto: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i w:val="1"/>
                <w:sz w:val="16"/>
                <w:szCs w:val="16"/>
                <w:rtl w:val="0"/>
              </w:rPr>
              <w:t xml:space="preserve">5 de Junio 2023</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Presentación ante el tribunal:</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i w:val="1"/>
                <w:sz w:val="16"/>
                <w:szCs w:val="16"/>
                <w:rtl w:val="0"/>
              </w:rPr>
              <w:t xml:space="preserve">a partir del 9 de Junio 2023</w:t>
            </w:r>
            <w:r w:rsidDel="00000000" w:rsidR="00000000" w:rsidRPr="00000000">
              <w:rPr>
                <w:rtl w:val="0"/>
              </w:rPr>
            </w:r>
          </w:p>
        </w:tc>
      </w:tr>
      <w:tr>
        <w:trPr>
          <w:cantSplit w:val="0"/>
          <w:tblHeader w:val="0"/>
        </w:trPr>
        <w:tc>
          <w:tcPr>
            <w:shd w:fill="fabf8f" w:val="clear"/>
            <w:vAlign w:val="top"/>
          </w:tcPr>
          <w:p w:rsidR="00000000" w:rsidDel="00000000" w:rsidP="00000000" w:rsidRDefault="00000000" w:rsidRPr="00000000" w14:paraId="0000000E">
            <w:pPr>
              <w:jc w:val="both"/>
              <w:rPr>
                <w:rFonts w:ascii="Arial" w:cs="Arial" w:eastAsia="Arial" w:hAnsi="Arial"/>
                <w:sz w:val="16"/>
                <w:szCs w:val="16"/>
                <w:vertAlign w:val="baseline"/>
              </w:rPr>
            </w:pPr>
            <w:r w:rsidDel="00000000" w:rsidR="00000000" w:rsidRPr="00000000">
              <w:rPr>
                <w:rFonts w:ascii="Arial" w:cs="Arial" w:eastAsia="Arial" w:hAnsi="Arial"/>
                <w:b w:val="1"/>
                <w:sz w:val="16"/>
                <w:szCs w:val="16"/>
                <w:vertAlign w:val="baseline"/>
                <w:rtl w:val="0"/>
              </w:rPr>
              <w:t xml:space="preserve">CRITERIOS DE EVALUACIÓN Y CALIFICACIÓN</w:t>
            </w:r>
            <w:r w:rsidDel="00000000" w:rsidR="00000000" w:rsidRPr="00000000">
              <w:rPr>
                <w:rtl w:val="0"/>
              </w:rPr>
            </w:r>
          </w:p>
        </w:tc>
        <w:tc>
          <w:tcPr>
            <w:shd w:fill="fabf8f" w:val="clear"/>
            <w:vAlign w:val="top"/>
          </w:tcPr>
          <w:p w:rsidR="00000000" w:rsidDel="00000000" w:rsidP="00000000" w:rsidRDefault="00000000" w:rsidRPr="00000000" w14:paraId="0000000F">
            <w:pPr>
              <w:rPr>
                <w:rFonts w:ascii="Arial" w:cs="Arial" w:eastAsia="Arial" w:hAnsi="Arial"/>
                <w:sz w:val="16"/>
                <w:szCs w:val="16"/>
                <w:vertAlign w:val="baseline"/>
              </w:rPr>
            </w:pPr>
            <w:r w:rsidDel="00000000" w:rsidR="00000000" w:rsidRPr="00000000">
              <w:rPr>
                <w:rFonts w:ascii="Arial" w:cs="Arial" w:eastAsia="Arial" w:hAnsi="Arial"/>
                <w:b w:val="1"/>
                <w:sz w:val="16"/>
                <w:szCs w:val="16"/>
                <w:vertAlign w:val="baseline"/>
                <w:rtl w:val="0"/>
              </w:rPr>
              <w:t xml:space="preserve">METODOLOGÍA, RECURSOS Y MEDIOS</w:t>
            </w:r>
            <w:r w:rsidDel="00000000" w:rsidR="00000000" w:rsidRPr="00000000">
              <w:rPr>
                <w:rtl w:val="0"/>
              </w:rPr>
            </w:r>
          </w:p>
        </w:tc>
      </w:tr>
      <w:tr>
        <w:trPr>
          <w:cantSplit w:val="0"/>
          <w:trHeight w:val="4895" w:hRule="atLeast"/>
          <w:tblHeader w:val="0"/>
        </w:trPr>
        <w:tc>
          <w:tcP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El proyecto se podrá realizar de manera individual o conjunta. Si se realiza de manera conjunta, el grupo estará compuesto por un máximo de tres alumnos.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Para la evaluación final del proyecto se realizará la defensa del mismo ante un tribunal. El tribunal de evaluación estará formado por al menos tres profesores del centro y, como mínimo, dos de ellos serán especialistas en la familia profesional del proyecto o bien habrán impartido algún módulo en el ciclo formativo.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 tendrán en cuenta las entregas parciales realizadas, para obtener la nota final del módulo de proyecto. Estas tendrán un valor máximo del 20% de la nota final del módulo. El resto de la nota se obtendrá el día de la defensa del proyecto a través de la valoración que realicen los componentes del tribunal de evaluación. El 70% de la nota final será obtenido, en base a la entrega completa del proyecto, dificultad objetivo del proyecto, desarrollo, funcionamiento, utilidad, etc. El 10% restante de la nota final será obtenido teniendo en cuenta en este la presentación en sí misma del proyecto, así como las explicaciones ofrecidas en dicha presentación, incluyendo la defensa del proyecto ante las preguntas y datos que pueda solicitar el tribunal de evaluación.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Aunque la realización del proyecto será durante el periodo destinado a las FCT, el tema elegido para el mismo y sus características principales, se concretarán lo antes posible, así los alumnos podrán adelantar trabajo, facilitando un proyecto más completo. Se realizarán 2 entregas durante el curso lectivo, que servirán como base para el proyecto final.</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En caso de no superar la defensa del proyecto, se podrá defender de nuevo en la siguiente convocatoria. Será al finalizar el siguiente proceso de prácticas FCT, convocatoria extraordinaria (</w:t>
            </w:r>
            <w:r w:rsidDel="00000000" w:rsidR="00000000" w:rsidRPr="00000000">
              <w:rPr>
                <w:rFonts w:ascii="Arial" w:cs="Arial" w:eastAsia="Arial" w:hAnsi="Arial"/>
                <w:sz w:val="16"/>
                <w:szCs w:val="16"/>
                <w:rtl w:val="0"/>
              </w:rPr>
              <w:t xml:space="preserve">Enero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del siguiente curso). El tribunal de evaluación, dependiendo de las circunstancias de los proyectos no superados, decidirá si se debe realizar íntegramente un nuevo proyecto (eligiendo otro título, tema, etc.), o bien, permitirá establecer pautas, a partir del proyecto anterior, para su finalización completa y defensa en la siguiente convocatoria.</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Algunos casos que suponen inevitablemente la repetición integra del proyecto son:</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 no realización del proyecto, no presentación o falta de entrega de documentación sobre el mismo.</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Estando en grupo, no aportar “nada” en la elaboración y desarrollo del mismo y/o en su defensa (*).</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 suspendieron las entregas parciales con notas por debajo de 3, o no se presentaron.</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 ha plagiado (copiado parte o la totalidad del mismo).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El alumno que, habiendo presentado un proyecto (colectivo o individual) y, el tribunal de evaluación dictamine que no consiguió alcanzar los objetivos del módulo de proyecto, recogidos más arriba, entre las referencias y enseñanzas mínimas del módulo, no superará la defensa del mismo y necesariamente tendrá que realizar un nuevo de proyecto y defenderlo en la siguiente convocatoria.</w:t>
            </w:r>
            <w:r w:rsidDel="00000000" w:rsidR="00000000" w:rsidRPr="00000000">
              <w:rPr>
                <w:rtl w:val="0"/>
              </w:rPr>
            </w:r>
          </w:p>
        </w:tc>
        <w:tc>
          <w:tcPr>
            <w:vAlign w:val="top"/>
          </w:tcPr>
          <w:p w:rsidR="00000000" w:rsidDel="00000000" w:rsidP="00000000" w:rsidRDefault="00000000" w:rsidRPr="00000000" w14:paraId="00000022">
            <w:pPr>
              <w:jc w:val="both"/>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En cualquier momento los alumnos pueden solicitar ayuda, ya sea sobre el enfoque general de su proyecto, como cualquier duda sobre el mismo, al tutor del proyecto tanto personalmente como a través del correo electrónico.</w:t>
            </w:r>
          </w:p>
          <w:p w:rsidR="00000000" w:rsidDel="00000000" w:rsidP="00000000" w:rsidRDefault="00000000" w:rsidRPr="00000000" w14:paraId="00000024">
            <w:pPr>
              <w:jc w:val="both"/>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25">
            <w:pPr>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También a los profesores del resto de módulos del ciclo, que, en la medida de lo posible, prestarán su ayuda sobre las dudas que puedan surgir y que estén relacionadas con el módulo que imparten.</w:t>
            </w:r>
          </w:p>
          <w:p w:rsidR="00000000" w:rsidDel="00000000" w:rsidP="00000000" w:rsidRDefault="00000000" w:rsidRPr="00000000" w14:paraId="00000026">
            <w:pPr>
              <w:jc w:val="both"/>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27">
            <w:pPr>
              <w:jc w:val="both"/>
              <w:rPr>
                <w:rFonts w:ascii="Arial" w:cs="Arial" w:eastAsia="Arial" w:hAnsi="Arial"/>
                <w:sz w:val="16"/>
                <w:szCs w:val="16"/>
                <w:vertAlign w:val="baseline"/>
              </w:rPr>
            </w:pPr>
            <w:r w:rsidDel="00000000" w:rsidR="00000000" w:rsidRPr="00000000">
              <w:rPr>
                <w:rFonts w:ascii="Arial" w:cs="Arial" w:eastAsia="Arial" w:hAnsi="Arial"/>
                <w:sz w:val="16"/>
                <w:szCs w:val="16"/>
                <w:vertAlign w:val="baseline"/>
                <w:rtl w:val="0"/>
              </w:rPr>
              <w:t xml:space="preserve">Los alumnos dispondrán de todos los materiales utilizados durante el ciclo formativo (documentación, prácticas, presentaciones, vídeos…), así como la posibilidad de usar las instalaciones del centro (aulas, ordenadores, etc.) previa petición y en el horario acordado específicamente por el tutor del proyecto.</w:t>
            </w:r>
          </w:p>
        </w:tc>
      </w:tr>
    </w:tbl>
    <w:p w:rsidR="00000000" w:rsidDel="00000000" w:rsidP="00000000" w:rsidRDefault="00000000" w:rsidRPr="00000000" w14:paraId="00000028">
      <w:pPr>
        <w:jc w:val="both"/>
        <w:rPr>
          <w:vertAlign w:val="baseline"/>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1906" w:w="16838" w:orient="landscape"/>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4940.0" w:type="dxa"/>
      <w:jc w:val="left"/>
      <w:tblInd w:w="-289.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60"/>
      <w:gridCol w:w="1652"/>
      <w:gridCol w:w="2835"/>
      <w:gridCol w:w="1276"/>
      <w:gridCol w:w="708"/>
      <w:gridCol w:w="1843"/>
      <w:gridCol w:w="2126"/>
      <w:gridCol w:w="3240"/>
      <w:tblGridChange w:id="0">
        <w:tblGrid>
          <w:gridCol w:w="1260"/>
          <w:gridCol w:w="1652"/>
          <w:gridCol w:w="2835"/>
          <w:gridCol w:w="1276"/>
          <w:gridCol w:w="708"/>
          <w:gridCol w:w="1843"/>
          <w:gridCol w:w="2126"/>
          <w:gridCol w:w="3240"/>
        </w:tblGrid>
      </w:tblGridChange>
    </w:tblGrid>
    <w:tr>
      <w:trPr>
        <w:cantSplit w:val="0"/>
        <w:trHeight w:val="963" w:hRule="atLeast"/>
        <w:tblHeader w:val="0"/>
      </w:trPr>
      <w:tc>
        <w:tcPr>
          <w:gridSpan w:val="2"/>
          <w:vAlign w:val="center"/>
        </w:tcPr>
        <w:p w:rsidR="00000000" w:rsidDel="00000000" w:rsidP="00000000" w:rsidRDefault="00000000" w:rsidRPr="00000000" w14:paraId="0000002B">
          <w:pPr>
            <w:tabs>
              <w:tab w:val="left" w:pos="3402"/>
            </w:tabs>
            <w:jc w:val="center"/>
            <w:rPr>
              <w:i w:val="0"/>
              <w:vertAlign w:val="baseline"/>
            </w:rPr>
          </w:pPr>
          <w:r w:rsidDel="00000000" w:rsidR="00000000" w:rsidRPr="00000000">
            <w:rPr>
              <w:b w:val="1"/>
              <w:sz w:val="36"/>
              <w:szCs w:val="36"/>
              <w:vertAlign w:val="baseline"/>
            </w:rPr>
            <w:drawing>
              <wp:inline distB="0" distT="0" distL="114300" distR="114300">
                <wp:extent cx="1329055" cy="532765"/>
                <wp:effectExtent b="0" l="0" r="0" t="0"/>
                <wp:docPr descr="Descripción: logoSasrFondoBlancoMed" id="1027" name="image1.png"/>
                <a:graphic>
                  <a:graphicData uri="http://schemas.openxmlformats.org/drawingml/2006/picture">
                    <pic:pic>
                      <pic:nvPicPr>
                        <pic:cNvPr descr="Descripción: logoSasrFondoBlancoMed" id="0" name="image1.png"/>
                        <pic:cNvPicPr preferRelativeResize="0"/>
                      </pic:nvPicPr>
                      <pic:blipFill>
                        <a:blip r:embed="rId1"/>
                        <a:srcRect b="0" l="0" r="0" t="0"/>
                        <a:stretch>
                          <a:fillRect/>
                        </a:stretch>
                      </pic:blipFill>
                      <pic:spPr>
                        <a:xfrm>
                          <a:off x="0" y="0"/>
                          <a:ext cx="1329055" cy="532765"/>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PROGRAMACIÓN DE AULA</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PROGRAMACIÓN DIDÁCTICA</w:t>
          </w:r>
          <w:r w:rsidDel="00000000" w:rsidR="00000000" w:rsidRPr="00000000">
            <w:rPr>
              <w:rtl w:val="0"/>
            </w:rPr>
          </w:r>
        </w:p>
      </w:tc>
      <w:tc>
        <w:tcP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3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Clave: P.AULA</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3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Revisión 0</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3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Página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 de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321" w:hRule="atLeast"/>
        <w:tblHeader w:val="0"/>
      </w:trPr>
      <w:tc>
        <w:tcPr>
          <w:tcBorders>
            <w:right w:color="000000" w:space="0" w:sz="4" w:val="single"/>
          </w:tcBorders>
          <w:shd w:fill="e0e0e0"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C.F.G.S.</w:t>
          </w:r>
          <w:r w:rsidDel="00000000" w:rsidR="00000000" w:rsidRPr="00000000">
            <w:rPr>
              <w:rtl w:val="0"/>
            </w:rPr>
          </w:r>
        </w:p>
      </w:tc>
      <w:tc>
        <w:tcPr>
          <w:gridSpan w:val="2"/>
          <w:tcBorders>
            <w:left w:color="000000" w:space="0" w:sz="4" w:val="single"/>
            <w:right w:color="000000" w:space="0" w:sz="4" w:val="single"/>
          </w:tcBorders>
          <w:shd w:fill="auto"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 DE APLICACIONES MULTIPLATAFORMA</w:t>
          </w:r>
          <w:r w:rsidDel="00000000" w:rsidR="00000000" w:rsidRPr="00000000">
            <w:rPr>
              <w:rtl w:val="0"/>
            </w:rPr>
          </w:r>
        </w:p>
      </w:tc>
      <w:tc>
        <w:tcPr>
          <w:tcBorders>
            <w:left w:color="000000" w:space="0" w:sz="4" w:val="single"/>
            <w:right w:color="000000" w:space="0" w:sz="4" w:val="single"/>
          </w:tcBorders>
          <w:shd w:fill="e0e0e0" w:val="cle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CURSO</w:t>
          </w: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2º</w:t>
          </w:r>
          <w:r w:rsidDel="00000000" w:rsidR="00000000" w:rsidRPr="00000000">
            <w:rPr>
              <w:rtl w:val="0"/>
            </w:rPr>
          </w:r>
        </w:p>
      </w:tc>
      <w:tc>
        <w:tcPr>
          <w:tcBorders>
            <w:left w:color="000000" w:space="0" w:sz="4" w:val="single"/>
            <w:right w:color="000000" w:space="0" w:sz="4" w:val="single"/>
          </w:tcBorders>
          <w:shd w:fill="e0e0e0"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MÓDULO</w:t>
          </w: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03C">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PROYECTO DAM</w:t>
          </w:r>
          <w:r w:rsidDel="00000000" w:rsidR="00000000" w:rsidRPr="00000000">
            <w:rPr>
              <w:rtl w:val="0"/>
            </w:rPr>
          </w:r>
        </w:p>
      </w:tc>
    </w:tr>
  </w:tb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44" w:hanging="359.9999999999999"/>
      </w:pPr>
      <w:rPr>
        <w:rFonts w:ascii="Arial" w:cs="Arial" w:eastAsia="Arial" w:hAnsi="Arial"/>
        <w:vertAlign w:val="baseline"/>
      </w:rPr>
    </w:lvl>
    <w:lvl w:ilvl="1">
      <w:start w:val="1"/>
      <w:numFmt w:val="bullet"/>
      <w:lvlText w:val="o"/>
      <w:lvlJc w:val="left"/>
      <w:pPr>
        <w:ind w:left="1364" w:hanging="360"/>
      </w:pPr>
      <w:rPr>
        <w:rFonts w:ascii="Courier New" w:cs="Courier New" w:eastAsia="Courier New" w:hAnsi="Courier New"/>
        <w:vertAlign w:val="baseline"/>
      </w:rPr>
    </w:lvl>
    <w:lvl w:ilvl="2">
      <w:start w:val="1"/>
      <w:numFmt w:val="bullet"/>
      <w:lvlText w:val="▪"/>
      <w:lvlJc w:val="left"/>
      <w:pPr>
        <w:ind w:left="2084" w:hanging="360"/>
      </w:pPr>
      <w:rPr>
        <w:rFonts w:ascii="Noto Sans" w:cs="Noto Sans" w:eastAsia="Noto Sans" w:hAnsi="Noto Sans"/>
        <w:vertAlign w:val="baseline"/>
      </w:rPr>
    </w:lvl>
    <w:lvl w:ilvl="3">
      <w:start w:val="1"/>
      <w:numFmt w:val="bullet"/>
      <w:lvlText w:val="●"/>
      <w:lvlJc w:val="left"/>
      <w:pPr>
        <w:ind w:left="2804" w:hanging="360"/>
      </w:pPr>
      <w:rPr>
        <w:rFonts w:ascii="Noto Sans" w:cs="Noto Sans" w:eastAsia="Noto Sans" w:hAnsi="Noto Sans"/>
        <w:vertAlign w:val="baseline"/>
      </w:rPr>
    </w:lvl>
    <w:lvl w:ilvl="4">
      <w:start w:val="1"/>
      <w:numFmt w:val="bullet"/>
      <w:lvlText w:val="o"/>
      <w:lvlJc w:val="left"/>
      <w:pPr>
        <w:ind w:left="3524" w:hanging="360"/>
      </w:pPr>
      <w:rPr>
        <w:rFonts w:ascii="Courier New" w:cs="Courier New" w:eastAsia="Courier New" w:hAnsi="Courier New"/>
        <w:vertAlign w:val="baseline"/>
      </w:rPr>
    </w:lvl>
    <w:lvl w:ilvl="5">
      <w:start w:val="1"/>
      <w:numFmt w:val="bullet"/>
      <w:lvlText w:val="▪"/>
      <w:lvlJc w:val="left"/>
      <w:pPr>
        <w:ind w:left="4244" w:hanging="360"/>
      </w:pPr>
      <w:rPr>
        <w:rFonts w:ascii="Noto Sans" w:cs="Noto Sans" w:eastAsia="Noto Sans" w:hAnsi="Noto Sans"/>
        <w:vertAlign w:val="baseline"/>
      </w:rPr>
    </w:lvl>
    <w:lvl w:ilvl="6">
      <w:start w:val="1"/>
      <w:numFmt w:val="bullet"/>
      <w:lvlText w:val="●"/>
      <w:lvlJc w:val="left"/>
      <w:pPr>
        <w:ind w:left="4964" w:hanging="360"/>
      </w:pPr>
      <w:rPr>
        <w:rFonts w:ascii="Noto Sans" w:cs="Noto Sans" w:eastAsia="Noto Sans" w:hAnsi="Noto Sans"/>
        <w:vertAlign w:val="baseline"/>
      </w:rPr>
    </w:lvl>
    <w:lvl w:ilvl="7">
      <w:start w:val="1"/>
      <w:numFmt w:val="bullet"/>
      <w:lvlText w:val="o"/>
      <w:lvlJc w:val="left"/>
      <w:pPr>
        <w:ind w:left="5684" w:hanging="360"/>
      </w:pPr>
      <w:rPr>
        <w:rFonts w:ascii="Courier New" w:cs="Courier New" w:eastAsia="Courier New" w:hAnsi="Courier New"/>
        <w:vertAlign w:val="baseline"/>
      </w:rPr>
    </w:lvl>
    <w:lvl w:ilvl="8">
      <w:start w:val="1"/>
      <w:numFmt w:val="bullet"/>
      <w:lvlText w:val="▪"/>
      <w:lvlJc w:val="left"/>
      <w:pPr>
        <w:ind w:left="6404" w:hanging="360"/>
      </w:pPr>
      <w:rPr>
        <w:rFonts w:ascii="Noto Sans" w:cs="Noto Sans" w:eastAsia="Noto Sans" w:hAnsi="Noto Sans"/>
        <w:vertAlign w:val="baseline"/>
      </w:rPr>
    </w:lvl>
  </w:abstractNum>
  <w:abstractNum w:abstractNumId="2">
    <w:lvl w:ilvl="0">
      <w:start w:val="1"/>
      <w:numFmt w:val="bullet"/>
      <w:lvlText w:val="●"/>
      <w:lvlJc w:val="left"/>
      <w:pPr>
        <w:ind w:left="360" w:hanging="360"/>
      </w:pPr>
      <w:rPr>
        <w:rFonts w:ascii="Noto Sans" w:cs="Noto Sans" w:eastAsia="Noto Sans" w:hAnsi="Noto San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w:cs="Noto Sans" w:eastAsia="Noto Sans" w:hAnsi="Noto Sans"/>
        <w:vertAlign w:val="baseline"/>
      </w:rPr>
    </w:lvl>
    <w:lvl w:ilvl="3">
      <w:start w:val="1"/>
      <w:numFmt w:val="bullet"/>
      <w:lvlText w:val="●"/>
      <w:lvlJc w:val="left"/>
      <w:pPr>
        <w:ind w:left="2520" w:hanging="360"/>
      </w:pPr>
      <w:rPr>
        <w:rFonts w:ascii="Noto Sans" w:cs="Noto Sans" w:eastAsia="Noto Sans" w:hAnsi="Noto San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w:cs="Noto Sans" w:eastAsia="Noto Sans" w:hAnsi="Noto Sans"/>
        <w:vertAlign w:val="baseline"/>
      </w:rPr>
    </w:lvl>
    <w:lvl w:ilvl="6">
      <w:start w:val="1"/>
      <w:numFmt w:val="bullet"/>
      <w:lvlText w:val="●"/>
      <w:lvlJc w:val="left"/>
      <w:pPr>
        <w:ind w:left="4680" w:hanging="360"/>
      </w:pPr>
      <w:rPr>
        <w:rFonts w:ascii="Noto Sans" w:cs="Noto Sans" w:eastAsia="Noto Sans" w:hAnsi="Noto San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w:cs="Noto Sans" w:eastAsia="Noto Sans" w:hAnsi="Noto Sans"/>
        <w:vertAlign w:val="baseline"/>
      </w:rPr>
    </w:lvl>
  </w:abstractNum>
  <w:abstractNum w:abstractNumId="3">
    <w:lvl w:ilvl="0">
      <w:start w:val="1"/>
      <w:numFmt w:val="bullet"/>
      <w:lvlText w:val="●"/>
      <w:lvlJc w:val="left"/>
      <w:pPr>
        <w:ind w:left="360" w:hanging="360"/>
      </w:pPr>
      <w:rPr>
        <w:rFonts w:ascii="Noto Sans" w:cs="Noto Sans" w:eastAsia="Noto Sans" w:hAnsi="Noto San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w:cs="Noto Sans" w:eastAsia="Noto Sans" w:hAnsi="Noto Sans"/>
        <w:vertAlign w:val="baseline"/>
      </w:rPr>
    </w:lvl>
    <w:lvl w:ilvl="3">
      <w:start w:val="1"/>
      <w:numFmt w:val="bullet"/>
      <w:lvlText w:val="●"/>
      <w:lvlJc w:val="left"/>
      <w:pPr>
        <w:ind w:left="2520" w:hanging="360"/>
      </w:pPr>
      <w:rPr>
        <w:rFonts w:ascii="Noto Sans" w:cs="Noto Sans" w:eastAsia="Noto Sans" w:hAnsi="Noto San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w:cs="Noto Sans" w:eastAsia="Noto Sans" w:hAnsi="Noto Sans"/>
        <w:vertAlign w:val="baseline"/>
      </w:rPr>
    </w:lvl>
    <w:lvl w:ilvl="6">
      <w:start w:val="1"/>
      <w:numFmt w:val="bullet"/>
      <w:lvlText w:val="●"/>
      <w:lvlJc w:val="left"/>
      <w:pPr>
        <w:ind w:left="4680" w:hanging="360"/>
      </w:pPr>
      <w:rPr>
        <w:rFonts w:ascii="Noto Sans" w:cs="Noto Sans" w:eastAsia="Noto Sans" w:hAnsi="Noto San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w:cs="Noto Sans" w:eastAsia="Noto Sans" w:hAnsi="Noto San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w w:val="100"/>
      <w:position w:val="-1"/>
      <w:sz w:val="16"/>
      <w:szCs w:val="16"/>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hAnsi="Courier New"/>
      <w:w w:val="100"/>
      <w:position w:val="-1"/>
      <w:sz w:val="20"/>
      <w:szCs w:val="20"/>
      <w:effect w:val="none"/>
      <w:vertAlign w:val="baseline"/>
      <w:cs w:val="0"/>
      <w:em w:val="none"/>
      <w:lang w:bidi="ar-SA" w:eastAsia="und" w:val="und"/>
    </w:rPr>
  </w:style>
  <w:style w:type="character" w:styleId="TextosinformatoCar">
    <w:name w:val="Texto sin formato Car"/>
    <w:next w:val="TextosinformatoCar"/>
    <w:autoRedefine w:val="0"/>
    <w:hidden w:val="0"/>
    <w:qFormat w:val="0"/>
    <w:rPr>
      <w:rFonts w:ascii="Courier New" w:hAnsi="Courier New"/>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0"/>
      <w:szCs w:val="20"/>
      <w:effect w:val="none"/>
      <w:vertAlign w:val="baseline"/>
      <w:cs w:val="0"/>
      <w:em w:val="none"/>
      <w:lang w:bidi="ar-SA" w:eastAsia="es-ES" w:val="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Segoe UI" w:hAnsi="Segoe UI"/>
      <w:w w:val="100"/>
      <w:position w:val="-1"/>
      <w:sz w:val="18"/>
      <w:szCs w:val="18"/>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Segoe UI" w:cs="Segoe UI" w:hAnsi="Segoe UI"/>
      <w:w w:val="100"/>
      <w:position w:val="-1"/>
      <w:sz w:val="18"/>
      <w:szCs w:val="18"/>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1.0" w:type="dxa"/>
        <w:bottom w:w="0.0" w:type="dxa"/>
        <w:right w:w="71.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1.0" w:type="dxa"/>
        <w:bottom w:w="0.0" w:type="dxa"/>
        <w:right w:w="71.0" w:type="dxa"/>
      </w:tblCellMar>
    </w:tblPr>
  </w:style>
  <w:style w:type="table" w:styleId="Table2">
    <w:basedOn w:val="TableNormal"/>
    <w:tblPr>
      <w:tblStyleRowBandSize w:val="1"/>
      <w:tblStyleColBandSize w:val="1"/>
      <w:tblCellMar>
        <w:top w:w="0.0" w:type="dxa"/>
        <w:left w:w="71.0" w:type="dxa"/>
        <w:bottom w:w="0.0" w:type="dxa"/>
        <w:right w:w="71.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J0joTnvEk1RIFbi5Pk1ba6D5g==">AMUW2mVIDerQDXGY/MIFX5Sxa6iPHlmY1W3LtnS9+NI0DZ6JZF4H/kpmA+GXJUx9hYZhgHTYcWnNxnO3x7+R5secYsSALaKyqBNkqe1jbQUyxQGxWsx/rIk=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2021-10-08T16:01:00Z</dcterms:created>
  <dc:creator>manoli.sanchez</dc:creator>
</cp:coreProperties>
</file>