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Master Services Agreement</w:t>
      </w:r>
    </w:p>
    <w:p>
      <w:pPr>
        <w:pStyle w:val="Heading2"/>
      </w:pPr>
      <w:r>
        <w:t>Parties and effective date</w:t>
      </w:r>
    </w:p>
    <w:p>
      <w:r>
        <w:t>This Master Services Agreement MSA-2026-0087 is made between Northwind Logistics B.V. (the Provider) and Fjordline Retail AS (the Customer) with effect from 1 April 2026.</w:t>
      </w:r>
    </w:p>
    <w:p>
      <w:pPr>
        <w:pStyle w:val="Heading2"/>
      </w:pPr>
      <w:r>
        <w:t>1. Term</w:t>
      </w:r>
    </w:p>
    <w:p>
      <w:pPr>
        <w:pStyle w:val="Heading3"/>
      </w:pPr>
      <w:r>
        <w:t>1.1 Initial term</w:t>
      </w:r>
    </w:p>
    <w:p>
      <w:r>
        <w:t>The initial term is 36 months from the effective date. After the initial term the Agreement renews for successive periods of 12 months.</w:t>
      </w:r>
    </w:p>
    <w:p>
      <w:pPr>
        <w:pStyle w:val="Heading2"/>
      </w:pPr>
      <w:r>
        <w:t>2. Services</w:t>
      </w:r>
    </w:p>
    <w:p>
      <w:pPr>
        <w:pStyle w:val="Heading3"/>
      </w:pPr>
      <w:r>
        <w:t>2.1 Scope</w:t>
      </w:r>
    </w:p>
    <w:p>
      <w:r>
        <w:t>The Provider shall transport, store and handle the Customer's goods between the Customer's sites in Norway, Sweden, Denmark and the Netherlands as described in each Order.</w:t>
      </w:r>
    </w:p>
    <w:p>
      <w:pPr>
        <w:pStyle w:val="Heading3"/>
      </w:pPr>
      <w:r>
        <w:t>2.2 Rates</w:t>
      </w:r>
    </w:p>
    <w:p>
      <w:r>
        <w:t>The rates below apply to all Orders. All rates are in EUR and exclude VAT.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Service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Unit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Rate</w:t>
            </w:r>
          </w:p>
        </w:tc>
      </w:tr>
      <w:tr>
        <w:tc>
          <w:tcPr>
            <w:tcW w:type="dxa" w:w="2880"/>
          </w:tcPr>
          <w:p>
            <w:r>
              <w:t>EU road freight, full pallet</w:t>
            </w:r>
          </w:p>
        </w:tc>
        <w:tc>
          <w:tcPr>
            <w:tcW w:type="dxa" w:w="2880"/>
          </w:tcPr>
          <w:p>
            <w:r>
              <w:t>per pallet</w:t>
            </w:r>
          </w:p>
        </w:tc>
        <w:tc>
          <w:tcPr>
            <w:tcW w:type="dxa" w:w="2880"/>
          </w:tcPr>
          <w:p>
            <w:r>
              <w:t>38.50</w:t>
            </w:r>
          </w:p>
        </w:tc>
      </w:tr>
      <w:tr>
        <w:tc>
          <w:tcPr>
            <w:tcW w:type="dxa" w:w="2880"/>
          </w:tcPr>
          <w:p>
            <w:r>
              <w:t>Cold-chain surcharge</w:t>
            </w:r>
          </w:p>
        </w:tc>
        <w:tc>
          <w:tcPr>
            <w:tcW w:type="dxa" w:w="2880"/>
          </w:tcPr>
          <w:p>
            <w:r>
              <w:t>per pallet</w:t>
            </w:r>
          </w:p>
        </w:tc>
        <w:tc>
          <w:tcPr>
            <w:tcW w:type="dxa" w:w="2880"/>
          </w:tcPr>
          <w:p>
            <w:r>
              <w:t>6.75</w:t>
            </w:r>
          </w:p>
        </w:tc>
      </w:tr>
      <w:tr>
        <w:tc>
          <w:tcPr>
            <w:tcW w:type="dxa" w:w="2880"/>
          </w:tcPr>
          <w:p>
            <w:r>
              <w:t>Pallet storage</w:t>
            </w:r>
          </w:p>
        </w:tc>
        <w:tc>
          <w:tcPr>
            <w:tcW w:type="dxa" w:w="2880"/>
          </w:tcPr>
          <w:p>
            <w:r>
              <w:t>per pallet per week</w:t>
            </w:r>
          </w:p>
        </w:tc>
        <w:tc>
          <w:tcPr>
            <w:tcW w:type="dxa" w:w="2880"/>
          </w:tcPr>
          <w:p>
            <w:r>
              <w:t>3.20</w:t>
            </w:r>
          </w:p>
        </w:tc>
      </w:tr>
      <w:tr>
        <w:tc>
          <w:tcPr>
            <w:tcW w:type="dxa" w:w="2880"/>
          </w:tcPr>
          <w:p>
            <w:r>
              <w:t>Fuel surcharge</w:t>
            </w:r>
          </w:p>
        </w:tc>
        <w:tc>
          <w:tcPr>
            <w:tcW w:type="dxa" w:w="2880"/>
          </w:tcPr>
          <w:p>
            <w:r>
              <w:t>percent of freight</w:t>
            </w:r>
          </w:p>
        </w:tc>
        <w:tc>
          <w:tcPr>
            <w:tcW w:type="dxa" w:w="2880"/>
          </w:tcPr>
          <w:p>
            <w:r>
              <w:t>6.5%</w:t>
            </w:r>
          </w:p>
        </w:tc>
      </w:tr>
    </w:tbl>
    <w:p/>
    <w:p>
      <w:pPr>
        <w:pStyle w:val="Heading2"/>
      </w:pPr>
      <w:r>
        <w:t>3. Delivery</w:t>
      </w:r>
    </w:p>
    <w:p>
      <w:pPr>
        <w:pStyle w:val="Heading3"/>
      </w:pPr>
      <w:r>
        <w:t>3.1 Delay credit</w:t>
      </w:r>
    </w:p>
    <w:p>
      <w:r>
        <w:t>The Provider shall credit 5% of the shipment charge for each full day of delay, up to a maximum of 25%.</w:t>
      </w:r>
    </w:p>
    <w:p>
      <w:pPr>
        <w:pStyle w:val="Heading3"/>
      </w:pPr>
      <w:r>
        <w:t>3.2 Delay credit exceptions</w:t>
      </w:r>
    </w:p>
    <w:p>
      <w:r>
        <w:t>No delay credit is payable where the delay is caused by customs inspection, force majeure, or incorrect data supplied by the Customer.</w:t>
      </w:r>
    </w:p>
    <w:p>
      <w:pPr>
        <w:pStyle w:val="Heading2"/>
      </w:pPr>
      <w:r>
        <w:t>4. Fees and payment</w:t>
      </w:r>
    </w:p>
    <w:p>
      <w:pPr>
        <w:pStyle w:val="Heading3"/>
      </w:pPr>
      <w:r>
        <w:t>4.1 Invoicing</w:t>
      </w:r>
    </w:p>
    <w:p>
      <w:r>
        <w:t>Invoices are payable within 30 days of the invoice date.</w:t>
      </w:r>
    </w:p>
    <w:p>
      <w:pPr>
        <w:pStyle w:val="Heading3"/>
      </w:pPr>
      <w:r>
        <w:t>4.2 Late payment</w:t>
      </w:r>
    </w:p>
    <w:p>
      <w:r>
        <w:t>Late payments accrue interest at 1.5% per month.</w:t>
      </w:r>
    </w:p>
    <w:p>
      <w:pPr>
        <w:pStyle w:val="Heading3"/>
      </w:pPr>
      <w:r>
        <w:t>4.3 Disputed invoices</w:t>
      </w:r>
    </w:p>
    <w:p>
      <w:r>
        <w:t>Notwithstanding clause 4.2, invoices disputed in good faith within 10 days of receipt are not subject to late interest.</w:t>
      </w:r>
    </w:p>
    <w:p>
      <w:pPr>
        <w:pStyle w:val="Heading2"/>
      </w:pPr>
      <w:r>
        <w:t>5. Liability</w:t>
      </w:r>
    </w:p>
    <w:p>
      <w:pPr>
        <w:pStyle w:val="Heading3"/>
      </w:pPr>
      <w:r>
        <w:t>5.1 General cap</w:t>
      </w:r>
    </w:p>
    <w:p>
      <w:r>
        <w:t>The Provider's total aggregate liability in any contract year shall not exceed EUR 2,000,000.</w:t>
      </w:r>
    </w:p>
    <w:p>
      <w:pPr>
        <w:pStyle w:val="Heading3"/>
      </w:pPr>
      <w:r>
        <w:t>5.2 Exclusions from the cap</w:t>
      </w:r>
    </w:p>
    <w:p>
      <w:r>
        <w:t>The liability cap in clause 5.1 does not apply to death or personal injury, fraud, or wilful misconduct.</w:t>
      </w:r>
    </w:p>
    <w:p>
      <w:pPr>
        <w:pStyle w:val="Heading3"/>
      </w:pPr>
      <w:r>
        <w:t>5.3 Confidentiality breach</w:t>
      </w:r>
    </w:p>
    <w:p>
      <w:r>
        <w:t>For breach of clause 8 (Confidentiality) the Provider's liability is capped at EUR 5,000,000 rather than the amount in clause 5.1.</w:t>
      </w:r>
    </w:p>
    <w:p>
      <w:pPr>
        <w:pStyle w:val="Heading3"/>
      </w:pPr>
      <w:r>
        <w:t>5.4 Insurance</w:t>
      </w:r>
    </w:p>
    <w:p>
      <w:r>
        <w:t>The Provider shall maintain cargo insurance of at least EUR 3,000,000 per occurrence.</w:t>
      </w:r>
    </w:p>
    <w:p>
      <w:pPr>
        <w:pStyle w:val="Heading2"/>
      </w:pPr>
      <w:r>
        <w:t>6. Data protection</w:t>
      </w:r>
    </w:p>
    <w:p>
      <w:r>
        <w:t>Personal data is processed under the Data Processing Addendum DPA-2026-011, which forms part of this Agreement. In the event of conflict on personal data, the Data Processing Addendum prevails.</w:t>
      </w:r>
    </w:p>
    <w:p>
      <w:pPr>
        <w:pStyle w:val="Heading2"/>
      </w:pPr>
      <w:r>
        <w:t>7. Termination</w:t>
      </w:r>
    </w:p>
    <w:p>
      <w:pPr>
        <w:pStyle w:val="Heading3"/>
      </w:pPr>
      <w:r>
        <w:t>7.1 For convenience</w:t>
      </w:r>
    </w:p>
    <w:p>
      <w:r>
        <w:t>Either party may terminate this Agreement for convenience on 90 days' written notice. However, the Customer may not give such notice before 1 April 2027.</w:t>
      </w:r>
    </w:p>
    <w:p>
      <w:pPr>
        <w:pStyle w:val="Heading3"/>
      </w:pPr>
      <w:r>
        <w:t>7.2 For cause</w:t>
      </w:r>
    </w:p>
    <w:p>
      <w:r>
        <w:t>Notwithstanding clause 7.1, either party may terminate immediately if the other becomes insolvent. A material breach that remains uncured 30 days after written notice also entitles the other party to terminate.</w:t>
      </w:r>
    </w:p>
    <w:p>
      <w:pPr>
        <w:pStyle w:val="Heading2"/>
      </w:pPr>
      <w:r>
        <w:t>8. Confidentiality</w:t>
      </w:r>
    </w:p>
    <w:p>
      <w:r>
        <w:t>Each party shall keep the other's confidential information secret. This obligation survives termination for 5 years.</w:t>
      </w:r>
    </w:p>
    <w:p>
      <w:pPr>
        <w:pStyle w:val="Heading2"/>
      </w:pPr>
      <w:r>
        <w:t>9. Governing law</w:t>
      </w:r>
    </w:p>
    <w:p>
      <w:r>
        <w:t>This Agreement is governed by Dutch law and the courts of Rotterdam have exclusive jurisdiction.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Northwind Logistics B.V. - Confidential - Internal use only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Northwind Logistics B.V. | Master Services Agreement MSA-2026-0087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Master Services Agreement</dc:title>
  <dc:subject/>
  <dc:creator>Northwind Logistics</dc:creator>
  <cp:keywords/>
  <dc:description>generated by python-docx</dc:description>
  <cp:lastModifiedBy>Northwind Logistics</cp:lastModifiedBy>
  <cp:revision>1</cp:revision>
  <dcterms:created xsi:type="dcterms:W3CDTF">2026-01-01T09:00:00Z</dcterms:created>
  <dcterms:modified xsi:type="dcterms:W3CDTF">2026-01-01T09:00:00Z</dcterms:modified>
  <cp:category/>
</cp:coreProperties>
</file>