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Travel Guidelines</w:t>
      </w:r>
    </w:p>
    <w:p>
      <w:pPr>
        <w:pStyle w:val="Heading2"/>
      </w:pPr>
      <w:r>
        <w:t>1. Booking</w:t>
      </w:r>
    </w:p>
    <w:p>
      <w:pPr>
        <w:pStyle w:val="Heading3"/>
      </w:pPr>
      <w:r>
        <w:t>1.1 Tool and lead time</w:t>
      </w:r>
    </w:p>
    <w:p>
      <w:r>
        <w:t>All business travel is booked through the NorthTravel tool at least 14 days before departure.</w:t>
      </w:r>
    </w:p>
    <w:p>
      <w:pPr>
        <w:pStyle w:val="Heading3"/>
      </w:pPr>
      <w:r>
        <w:t>1.2 Flights</w:t>
      </w:r>
    </w:p>
    <w:p>
      <w:r>
        <w:t>Economy class is mandatory for flights shorter than 4 hours. Business class is allowed on flights longer than 4 hours for Directors and above.</w:t>
      </w:r>
    </w:p>
    <w:p>
      <w:pPr>
        <w:pStyle w:val="Heading3"/>
      </w:pPr>
      <w:r>
        <w:t>1.3 Rail</w:t>
      </w:r>
    </w:p>
    <w:p>
      <w:r>
        <w:t>Rail is the preferred mode for journeys under 500 km.</w:t>
      </w:r>
    </w:p>
    <w:p>
      <w:pPr>
        <w:pStyle w:val="Heading2"/>
      </w:pPr>
      <w:r>
        <w:t>2. Accommodation and meals</w:t>
      </w:r>
    </w:p>
    <w:p>
      <w:pPr>
        <w:pStyle w:val="Heading3"/>
      </w:pPr>
      <w:r>
        <w:t>2.1 Hotels</w:t>
      </w:r>
    </w:p>
    <w:p>
      <w:r>
        <w:t>Hotel nights in Tier A cities are capped at EUR 175. Elsewhere the cap is EUR 120 per night.</w:t>
      </w:r>
    </w:p>
    <w:p>
      <w:pPr>
        <w:pStyle w:val="Heading3"/>
      </w:pPr>
      <w:r>
        <w:t>2.2 Meals</w:t>
      </w:r>
    </w:p>
    <w:p>
      <w:r>
        <w:t>Meals during domestic travel are reimbursed up to EUR 48 per day.</w:t>
      </w:r>
    </w:p>
    <w:p>
      <w:pPr>
        <w:pStyle w:val="Heading3"/>
      </w:pPr>
      <w:r>
        <w:t>2.3 Daily allowance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Trip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Meal allowance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Incidentals</w:t>
            </w:r>
          </w:p>
        </w:tc>
      </w:tr>
      <w:tr>
        <w:tc>
          <w:tcPr>
            <w:tcW w:type="dxa" w:w="2880"/>
          </w:tcPr>
          <w:p>
            <w:r>
              <w:t>Domestic</w:t>
            </w:r>
          </w:p>
        </w:tc>
        <w:tc>
          <w:tcPr>
            <w:tcW w:type="dxa" w:w="2880"/>
          </w:tcPr>
          <w:p>
            <w:r>
              <w:t>EUR 48</w:t>
            </w:r>
          </w:p>
        </w:tc>
        <w:tc>
          <w:tcPr>
            <w:tcW w:type="dxa" w:w="2880"/>
          </w:tcPr>
          <w:p>
            <w:r>
              <w:t>EUR 5</w:t>
            </w:r>
          </w:p>
        </w:tc>
      </w:tr>
      <w:tr>
        <w:tc>
          <w:tcPr>
            <w:tcW w:type="dxa" w:w="2880"/>
          </w:tcPr>
          <w:p>
            <w:r>
              <w:t>Europe</w:t>
            </w:r>
          </w:p>
        </w:tc>
        <w:tc>
          <w:tcPr>
            <w:tcW w:type="dxa" w:w="2880"/>
          </w:tcPr>
          <w:p>
            <w:r>
              <w:t>EUR 62</w:t>
            </w:r>
          </w:p>
        </w:tc>
        <w:tc>
          <w:tcPr>
            <w:tcW w:type="dxa" w:w="2880"/>
          </w:tcPr>
          <w:p>
            <w:r>
              <w:t>EUR 8</w:t>
            </w:r>
          </w:p>
        </w:tc>
      </w:tr>
      <w:tr>
        <w:tc>
          <w:tcPr>
            <w:tcW w:type="dxa" w:w="2880"/>
          </w:tcPr>
          <w:p>
            <w:r>
              <w:t>Outside Europe</w:t>
            </w:r>
          </w:p>
        </w:tc>
        <w:tc>
          <w:tcPr>
            <w:tcW w:type="dxa" w:w="2880"/>
          </w:tcPr>
          <w:p>
            <w:r>
              <w:t>EUR 75</w:t>
            </w:r>
          </w:p>
        </w:tc>
        <w:tc>
          <w:tcPr>
            <w:tcW w:type="dxa" w:w="2880"/>
          </w:tcPr>
          <w:p>
            <w:r>
              <w:t>EUR 12</w:t>
            </w:r>
          </w:p>
        </w:tc>
      </w:tr>
    </w:tbl>
    <w:p/>
    <w:p>
      <w:pPr>
        <w:pStyle w:val="Heading2"/>
      </w:pPr>
      <w:r>
        <w:t>3. Private vehicles and insurance</w:t>
      </w:r>
    </w:p>
    <w:p>
      <w:pPr>
        <w:pStyle w:val="Heading3"/>
      </w:pPr>
      <w:r>
        <w:t>3.1 Mileage</w:t>
      </w:r>
    </w:p>
    <w:p>
      <w:r>
        <w:t>Mileage in a private car is reimbursed at EUR 0.23 per km.</w:t>
      </w:r>
    </w:p>
    <w:p>
      <w:pPr>
        <w:pStyle w:val="Heading3"/>
      </w:pPr>
      <w:r>
        <w:t>3.2 Insurance</w:t>
      </w:r>
    </w:p>
    <w:p>
      <w:r>
        <w:t>Travel insurance is automatically included for trips booked via NorthTravel.</w:t>
      </w:r>
    </w:p>
    <w:p>
      <w:pPr>
        <w:pStyle w:val="Heading2"/>
      </w:pPr>
      <w:r>
        <w:t>4. Safety</w:t>
      </w:r>
    </w:p>
    <w:p>
      <w:r>
        <w:t>Travellers must register trips outside Europe with the Security Operations Centre at least 5 working days before departure.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Northwind Logistics B.V. - Confidential - Internal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Northwind Logistics B.V. | Travel Guidelines (2026)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Travel Guidelines</dc:title>
  <dc:subject/>
  <dc:creator>Northwind Logistics</dc:creator>
  <cp:keywords/>
  <dc:description>generated by python-docx</dc:description>
  <cp:lastModifiedBy>Northwind Logistics</cp:lastModifiedBy>
  <cp:revision>1</cp:revision>
  <dcterms:created xsi:type="dcterms:W3CDTF">2026-01-01T09:00:00Z</dcterms:created>
  <dcterms:modified xsi:type="dcterms:W3CDTF">2026-01-01T09:00:00Z</dcterms:modified>
  <cp:category/>
</cp:coreProperties>
</file>