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Processing Addendum</w:t>
      </w:r>
    </w:p>
    <w:p>
      <w:r>
        <w:t>This document is the property of Northwind Logistics B.V., Rotterdam (KvK 24081793). It may not be copied, distributed or disclosed to third parties without the written consent of the Legal Department.</w:t>
      </w:r>
    </w:p>
    <w:p>
      <w:pPr>
        <w:pStyle w:val="Heading2"/>
      </w:pPr>
      <w:r>
        <w:t>1. Background</w:t>
      </w:r>
    </w:p>
    <w:p>
      <w:r>
        <w:t>This Data Processing Addendum DPA-2026-011 is attached to Master Services Agreement MSA-2026-0087. Northwind acts as processor and the Customer acts as controller.</w:t>
      </w:r>
    </w:p>
    <w:p>
      <w:pPr>
        <w:pStyle w:val="Heading2"/>
      </w:pPr>
      <w:r>
        <w:t>2. Processing details</w:t>
      </w:r>
    </w:p>
    <w:p>
      <w:pPr>
        <w:pStyle w:val="Heading3"/>
      </w:pPr>
      <w:r>
        <w:t>2.1 Categories of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category</w:t>
            </w:r>
          </w:p>
        </w:tc>
        <w:tc>
          <w:tcPr>
            <w:tcW w:type="dxa" w:w="2880"/>
          </w:tcPr>
          <w:p>
            <w:r>
              <w:rPr>
                <w:b/>
              </w:rPr>
              <w:t>Data subjects</w:t>
            </w:r>
          </w:p>
        </w:tc>
        <w:tc>
          <w:tcPr>
            <w:tcW w:type="dxa" w:w="2880"/>
          </w:tcPr>
          <w:p>
            <w:r>
              <w:rPr>
                <w:b/>
              </w:rPr>
              <w:t>Retention</w:t>
            </w:r>
          </w:p>
        </w:tc>
      </w:tr>
      <w:tr>
        <w:tc>
          <w:tcPr>
            <w:tcW w:type="dxa" w:w="2880"/>
          </w:tcPr>
          <w:p>
            <w:r>
              <w:t>Delivery contact details</w:t>
            </w:r>
          </w:p>
        </w:tc>
        <w:tc>
          <w:tcPr>
            <w:tcW w:type="dxa" w:w="2880"/>
          </w:tcPr>
          <w:p>
            <w:r>
              <w:t>Consignees</w:t>
            </w:r>
          </w:p>
        </w:tc>
        <w:tc>
          <w:tcPr>
            <w:tcW w:type="dxa" w:w="2880"/>
          </w:tcPr>
          <w:p>
            <w:r>
              <w:t>24 months</w:t>
            </w:r>
          </w:p>
        </w:tc>
      </w:tr>
      <w:tr>
        <w:tc>
          <w:tcPr>
            <w:tcW w:type="dxa" w:w="2880"/>
          </w:tcPr>
          <w:p>
            <w:r>
              <w:t>Driver GPS location</w:t>
            </w:r>
          </w:p>
        </w:tc>
        <w:tc>
          <w:tcPr>
            <w:tcW w:type="dxa" w:w="2880"/>
          </w:tcPr>
          <w:p>
            <w:r>
              <w:t>Drivers</w:t>
            </w:r>
          </w:p>
        </w:tc>
        <w:tc>
          <w:tcPr>
            <w:tcW w:type="dxa" w:w="2880"/>
          </w:tcPr>
          <w:p>
            <w:r>
              <w:t>90 days</w:t>
            </w:r>
          </w:p>
        </w:tc>
      </w:tr>
      <w:tr>
        <w:tc>
          <w:tcPr>
            <w:tcW w:type="dxa" w:w="2880"/>
          </w:tcPr>
          <w:p>
            <w:r>
              <w:t>Proof-of-delivery signatures</w:t>
            </w:r>
          </w:p>
        </w:tc>
        <w:tc>
          <w:tcPr>
            <w:tcW w:type="dxa" w:w="2880"/>
          </w:tcPr>
          <w:p>
            <w:r>
              <w:t>Consignees</w:t>
            </w:r>
          </w:p>
        </w:tc>
        <w:tc>
          <w:tcPr>
            <w:tcW w:type="dxa" w:w="2880"/>
          </w:tcPr>
          <w:p>
            <w:r>
              <w:t>36 months</w:t>
            </w:r>
          </w:p>
        </w:tc>
      </w:tr>
    </w:tbl>
    <w:p/>
    <w:p>
      <w:pPr>
        <w:pStyle w:val="Heading2"/>
      </w:pPr>
      <w:r>
        <w:t>3. Security and breach</w:t>
      </w:r>
    </w:p>
    <w:p>
      <w:pPr>
        <w:pStyle w:val="Heading3"/>
      </w:pPr>
      <w:r>
        <w:t>3.1 Breach notification</w:t>
      </w:r>
    </w:p>
    <w:p>
      <w:r>
        <w:t>Personal data breaches must be notified to the controller without undue delay and in any event within 48 hours.</w:t>
      </w:r>
    </w:p>
    <w:p>
      <w:pPr>
        <w:pStyle w:val="Heading3"/>
      </w:pPr>
      <w:r>
        <w:t>3.2 Deletion on exit</w:t>
      </w:r>
    </w:p>
    <w:p>
      <w:r>
        <w:t>Personal data is deleted within 60 days after termination of the Agreement.</w:t>
      </w:r>
    </w:p>
    <w:p>
      <w:pPr>
        <w:pStyle w:val="Heading2"/>
      </w:pPr>
      <w:r>
        <w:t>4. Sub-processors</w:t>
      </w:r>
    </w:p>
    <w:p>
      <w:r>
        <w:t>The controller authorises the sub-processors listed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Sub-processor</w:t>
            </w:r>
          </w:p>
        </w:tc>
        <w:tc>
          <w:tcPr>
            <w:tcW w:type="dxa" w:w="2880"/>
          </w:tcPr>
          <w:p>
            <w:r>
              <w:rPr>
                <w:b/>
              </w:rPr>
              <w:t>Service</w:t>
            </w:r>
          </w:p>
        </w:tc>
        <w:tc>
          <w:tcPr>
            <w:tcW w:type="dxa" w:w="2880"/>
          </w:tcPr>
          <w:p>
            <w:r>
              <w:rPr>
                <w:b/>
              </w:rPr>
              <w:t>Country</w:t>
            </w:r>
          </w:p>
        </w:tc>
      </w:tr>
      <w:tr>
        <w:tc>
          <w:tcPr>
            <w:tcW w:type="dxa" w:w="2880"/>
          </w:tcPr>
          <w:p>
            <w:r>
              <w:t>Helios Telematics GmbH</w:t>
            </w:r>
          </w:p>
        </w:tc>
        <w:tc>
          <w:tcPr>
            <w:tcW w:type="dxa" w:w="2880"/>
          </w:tcPr>
          <w:p>
            <w:r>
              <w:t>GPS and telemetry feed</w:t>
            </w:r>
          </w:p>
        </w:tc>
        <w:tc>
          <w:tcPr>
            <w:tcW w:type="dxa" w:w="2880"/>
          </w:tcPr>
          <w:p>
            <w:r>
              <w:t>Germany</w:t>
            </w:r>
          </w:p>
        </w:tc>
      </w:tr>
      <w:tr>
        <w:tc>
          <w:tcPr>
            <w:tcW w:type="dxa" w:w="2880"/>
          </w:tcPr>
          <w:p>
            <w:r>
              <w:t>CloudNorth Hosting AB</w:t>
            </w:r>
          </w:p>
        </w:tc>
        <w:tc>
          <w:tcPr>
            <w:tcW w:type="dxa" w:w="2880"/>
          </w:tcPr>
          <w:p>
            <w:r>
              <w:t>Application hosting</w:t>
            </w:r>
          </w:p>
        </w:tc>
        <w:tc>
          <w:tcPr>
            <w:tcW w:type="dxa" w:w="2880"/>
          </w:tcPr>
          <w:p>
            <w:r>
              <w:t>Sweden</w:t>
            </w:r>
          </w:p>
        </w:tc>
      </w:tr>
      <w:tr>
        <w:tc>
          <w:tcPr>
            <w:tcW w:type="dxa" w:w="2880"/>
          </w:tcPr>
          <w:p>
            <w:r>
              <w:t>MailRelay SAS</w:t>
            </w:r>
          </w:p>
        </w:tc>
        <w:tc>
          <w:tcPr>
            <w:tcW w:type="dxa" w:w="2880"/>
          </w:tcPr>
          <w:p>
            <w:r>
              <w:t>Transactional email</w:t>
            </w:r>
          </w:p>
        </w:tc>
        <w:tc>
          <w:tcPr>
            <w:tcW w:type="dxa" w:w="2880"/>
          </w:tcPr>
          <w:p>
            <w:r>
              <w:t>France</w:t>
            </w:r>
          </w:p>
        </w:tc>
      </w:tr>
    </w:tbl>
    <w:p/>
    <w:p>
      <w:pPr>
        <w:pStyle w:val="Heading2"/>
      </w:pPr>
      <w:r>
        <w:t>5. Audits</w:t>
      </w:r>
    </w:p>
    <w:p>
      <w:pPr>
        <w:pStyle w:val="Heading3"/>
      </w:pPr>
      <w:r>
        <w:t>5.1 Regular audits</w:t>
      </w:r>
    </w:p>
    <w:p>
      <w:r>
        <w:t>The controller may audit the processor once per 12 months on 30 days' notice.</w:t>
      </w:r>
    </w:p>
    <w:p>
      <w:pPr>
        <w:pStyle w:val="Heading3"/>
      </w:pPr>
      <w:r>
        <w:t>5.2 For-cause audits</w:t>
      </w:r>
    </w:p>
    <w:p>
      <w:r>
        <w:t>Exception: after a personal data breach the controller may audit at any time on 5 working days' notice.</w:t>
      </w:r>
    </w:p>
    <w:p>
      <w:pPr>
        <w:pStyle w:val="Heading2"/>
      </w:pPr>
      <w:r>
        <w:t>6. International transfers</w:t>
      </w:r>
    </w:p>
    <w:p>
      <w:r>
        <w:t>Transfers outside the European Economic Area take place only under the standard contractual clauses approved by the European authorities.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Northwind Logistics B.V. - 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Northwind Logistics B.V. | Data Processing Addendum DPA-2026-011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Addendum</dc:title>
  <dc:subject/>
  <dc:creator>Northwind Logistics</dc:creator>
  <cp:keywords/>
  <dc:description>generated by python-docx</dc:description>
  <cp:lastModifiedBy>Northwind Logistics</cp:lastModifiedBy>
  <cp:revision>1</cp:revision>
  <dcterms:created xsi:type="dcterms:W3CDTF">2026-01-01T09:00:00Z</dcterms:created>
  <dcterms:modified xsi:type="dcterms:W3CDTF">2026-01-01T09:00:00Z</dcterms:modified>
  <cp:category/>
</cp:coreProperties>
</file>