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492E" w14:textId="77777777" w:rsidR="005F2607" w:rsidRDefault="0011361B">
      <w:pPr>
        <w:spacing w:after="768" w:line="7268" w:lineRule="auto"/>
        <w:ind w:left="17" w:right="7"/>
        <w:jc w:val="center"/>
      </w:pPr>
      <w:r>
        <w:rPr>
          <w:rFonts w:ascii="Arial" w:eastAsia="Arial" w:hAnsi="Arial" w:cs="Arial"/>
          <w:sz w:val="2"/>
        </w:rPr>
        <w:t>lOMoARcPSD|21014969</w:t>
      </w:r>
    </w:p>
    <w:p w14:paraId="1AE34D71" w14:textId="77777777" w:rsidR="005F2607" w:rsidRDefault="0011361B">
      <w:pPr>
        <w:spacing w:after="1789" w:line="259" w:lineRule="auto"/>
        <w:ind w:left="5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3BEDCD" wp14:editId="541EAFB2">
                <wp:extent cx="5080000" cy="644090"/>
                <wp:effectExtent l="0" t="0" r="0" b="0"/>
                <wp:docPr id="855" name="Group 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644090"/>
                          <a:chOff x="0" y="0"/>
                          <a:chExt cx="5080000" cy="64409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6440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6440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>
            <w:pict>
              <v:group id="Group 855" style="width:400pt;height:50.7158pt;mso-position-horizontal-relative:char;mso-position-vertical-relative:line" coordsize="50800,6440">
                <v:shape id="Picture 7" style="position:absolute;width:50800;height:6440;left:0;top:0;" filled="f">
                  <v:imagedata r:id="rId6"/>
                </v:shape>
                <v:shape id="Picture 12" style="position:absolute;width:50800;height:6440;left:0;top:0;" filled="f">
                  <v:imagedata r:id="rId6"/>
                </v:shape>
              </v:group>
            </w:pict>
          </mc:Fallback>
        </mc:AlternateContent>
      </w:r>
    </w:p>
    <w:p w14:paraId="1D1EB8D3" w14:textId="77777777" w:rsidR="005F2607" w:rsidRDefault="00E273A2">
      <w:pPr>
        <w:spacing w:after="774" w:line="259" w:lineRule="auto"/>
        <w:ind w:left="1467" w:firstLine="0"/>
      </w:pPr>
      <w:hyperlink r:id="rId7">
        <w:r w:rsidR="0011361B">
          <w:rPr>
            <w:rFonts w:ascii="Arial" w:eastAsia="Arial" w:hAnsi="Arial" w:cs="Arial"/>
            <w:color w:val="666666"/>
            <w:sz w:val="40"/>
          </w:rPr>
          <w:t>Schedules Criminal Procedure Act</w:t>
        </w:r>
      </w:hyperlink>
    </w:p>
    <w:p w14:paraId="3EA54926" w14:textId="77777777" w:rsidR="005F2607" w:rsidRDefault="00E273A2">
      <w:pPr>
        <w:spacing w:after="10175" w:line="259" w:lineRule="auto"/>
        <w:ind w:left="1456" w:firstLine="0"/>
      </w:pPr>
      <w:hyperlink r:id="rId8">
        <w:r w:rsidR="0011361B">
          <w:rPr>
            <w:rFonts w:ascii="Arial" w:eastAsia="Arial" w:hAnsi="Arial" w:cs="Arial"/>
            <w:color w:val="B2B2B2"/>
            <w:sz w:val="28"/>
          </w:rPr>
          <w:t>Criminal Procedure (University of KwaZulu-Natal)</w:t>
        </w:r>
      </w:hyperlink>
    </w:p>
    <w:p w14:paraId="65F4101E" w14:textId="77777777" w:rsidR="005F2607" w:rsidRDefault="0011361B">
      <w:pPr>
        <w:spacing w:after="38" w:line="259" w:lineRule="auto"/>
        <w:ind w:left="0" w:firstLine="0"/>
        <w:jc w:val="center"/>
      </w:pPr>
      <w:proofErr w:type="spellStart"/>
      <w:r>
        <w:rPr>
          <w:rFonts w:ascii="Arial" w:eastAsia="Arial" w:hAnsi="Arial" w:cs="Arial"/>
          <w:color w:val="4C4C4C"/>
          <w:sz w:val="16"/>
        </w:rPr>
        <w:t>Studocu</w:t>
      </w:r>
      <w:proofErr w:type="spellEnd"/>
      <w:r>
        <w:rPr>
          <w:rFonts w:ascii="Arial" w:eastAsia="Arial" w:hAnsi="Arial" w:cs="Arial"/>
          <w:color w:val="4C4C4C"/>
          <w:sz w:val="16"/>
        </w:rPr>
        <w:t xml:space="preserve"> is not sponsored or endorsed by any college or university</w:t>
      </w:r>
    </w:p>
    <w:p w14:paraId="5F1B3C84" w14:textId="77777777" w:rsidR="005F2607" w:rsidRDefault="0011361B">
      <w:pPr>
        <w:spacing w:after="71" w:line="259" w:lineRule="auto"/>
        <w:ind w:left="17" w:right="7"/>
        <w:jc w:val="center"/>
      </w:pPr>
      <w:r>
        <w:rPr>
          <w:rFonts w:ascii="Arial" w:eastAsia="Arial" w:hAnsi="Arial" w:cs="Arial"/>
          <w:color w:val="4C4C4C"/>
          <w:sz w:val="16"/>
        </w:rPr>
        <w:t>Downloaded by Marshal Khosa (marshalk.online@gmail.com)</w:t>
      </w:r>
    </w:p>
    <w:p w14:paraId="32ED8A31" w14:textId="77777777" w:rsidR="005F2607" w:rsidRDefault="005F2607">
      <w:pPr>
        <w:sectPr w:rsidR="005F2607">
          <w:pgSz w:w="11906" w:h="16838"/>
          <w:pgMar w:top="1400" w:right="1440" w:bottom="1440" w:left="1440" w:header="720" w:footer="720" w:gutter="0"/>
          <w:cols w:space="720"/>
        </w:sectPr>
      </w:pPr>
    </w:p>
    <w:p w14:paraId="5DDB4567" w14:textId="77777777" w:rsidR="005F2607" w:rsidRDefault="0011361B">
      <w:pPr>
        <w:spacing w:after="1120" w:line="7268" w:lineRule="auto"/>
        <w:ind w:left="17"/>
        <w:jc w:val="center"/>
      </w:pPr>
      <w:r>
        <w:rPr>
          <w:rFonts w:ascii="Arial" w:eastAsia="Arial" w:hAnsi="Arial" w:cs="Arial"/>
          <w:sz w:val="2"/>
        </w:rPr>
        <w:t>lOMoARcPSD|21014969</w:t>
      </w:r>
    </w:p>
    <w:p w14:paraId="400264D2" w14:textId="77777777" w:rsidR="005F2607" w:rsidRDefault="0011361B">
      <w:pPr>
        <w:pStyle w:val="Heading1"/>
      </w:pPr>
      <w:r>
        <w:t xml:space="preserve">Criminal Procedure Act </w:t>
      </w:r>
      <w:r>
        <w:rPr>
          <w:rFonts w:ascii="Arial" w:eastAsia="Arial" w:hAnsi="Arial" w:cs="Arial"/>
        </w:rPr>
        <w:t>–</w:t>
      </w:r>
      <w:r>
        <w:t xml:space="preserve"> Schedules (from textbook)</w:t>
      </w:r>
      <w:r>
        <w:rPr>
          <w:color w:val="0000FF"/>
        </w:rPr>
        <w:t xml:space="preserve"> </w:t>
      </w:r>
    </w:p>
    <w:p w14:paraId="36E2B56A" w14:textId="77777777" w:rsidR="005F2607" w:rsidRDefault="0011361B">
      <w:pPr>
        <w:spacing w:line="259" w:lineRule="auto"/>
        <w:ind w:left="0" w:firstLine="0"/>
      </w:pPr>
      <w:r>
        <w:rPr>
          <w:color w:val="0000FF"/>
        </w:rPr>
        <w:t xml:space="preserve"> </w:t>
      </w:r>
    </w:p>
    <w:p w14:paraId="32567747" w14:textId="77777777" w:rsidR="005F2607" w:rsidRDefault="0011361B">
      <w:pPr>
        <w:pStyle w:val="Heading2"/>
        <w:ind w:left="-5"/>
      </w:pPr>
      <w:r>
        <w:t xml:space="preserve">Schedule 1 (traditional list of serious offences) </w:t>
      </w:r>
    </w:p>
    <w:p w14:paraId="3A2ABB7B" w14:textId="7BF1F79A" w:rsidR="005F2607" w:rsidRDefault="0011361B">
      <w:pPr>
        <w:ind w:left="-5"/>
      </w:pPr>
      <w:r>
        <w:t>Treason</w:t>
      </w:r>
      <w:r w:rsidR="00E273A2">
        <w:t>,</w:t>
      </w:r>
      <w:r>
        <w:t xml:space="preserve"> sedition</w:t>
      </w:r>
      <w:r w:rsidR="00E273A2">
        <w:t>,</w:t>
      </w:r>
      <w:r>
        <w:t xml:space="preserve"> public violence</w:t>
      </w:r>
      <w:r w:rsidR="00E273A2">
        <w:t>,</w:t>
      </w:r>
      <w:r>
        <w:t xml:space="preserve"> murder</w:t>
      </w:r>
      <w:r w:rsidR="00E273A2">
        <w:t>,</w:t>
      </w:r>
      <w:r>
        <w:t xml:space="preserve"> culpable homicide</w:t>
      </w:r>
      <w:r w:rsidR="00E273A2">
        <w:t>,</w:t>
      </w:r>
      <w:r>
        <w:t xml:space="preserve"> rape</w:t>
      </w:r>
      <w:r w:rsidR="00E273A2">
        <w:t>,</w:t>
      </w:r>
      <w:r>
        <w:t xml:space="preserve"> assault</w:t>
      </w:r>
      <w:r w:rsidR="00E273A2">
        <w:t>,</w:t>
      </w:r>
      <w:r>
        <w:t xml:space="preserve"> sexual assault (against child, sexual trafficking)</w:t>
      </w:r>
      <w:r w:rsidR="00E273A2">
        <w:t>,</w:t>
      </w:r>
      <w:r>
        <w:t xml:space="preserve"> bestiality</w:t>
      </w:r>
      <w:r w:rsidR="00E273A2">
        <w:t>,</w:t>
      </w:r>
      <w:r>
        <w:t xml:space="preserve"> robbery</w:t>
      </w:r>
      <w:r w:rsidR="00E273A2">
        <w:t>,</w:t>
      </w:r>
      <w:r>
        <w:t xml:space="preserve"> kidnapping</w:t>
      </w:r>
      <w:r w:rsidR="00E273A2">
        <w:t>,</w:t>
      </w:r>
      <w:r>
        <w:t xml:space="preserve"> </w:t>
      </w:r>
      <w:proofErr w:type="spellStart"/>
      <w:r>
        <w:t>childstealing</w:t>
      </w:r>
      <w:proofErr w:type="spellEnd"/>
      <w:r w:rsidR="00E273A2">
        <w:t>,</w:t>
      </w:r>
      <w:r>
        <w:t xml:space="preserve"> arson</w:t>
      </w:r>
      <w:r w:rsidR="00E273A2">
        <w:t>,</w:t>
      </w:r>
      <w:r>
        <w:t xml:space="preserve"> malicious damage to property</w:t>
      </w:r>
      <w:r w:rsidR="00E273A2">
        <w:t>,</w:t>
      </w:r>
      <w:r>
        <w:t xml:space="preserve"> breaking and entry</w:t>
      </w:r>
      <w:r w:rsidR="00E273A2">
        <w:t>,</w:t>
      </w:r>
      <w:r>
        <w:t xml:space="preserve"> fraud</w:t>
      </w:r>
      <w:r w:rsidR="00E273A2">
        <w:t>,</w:t>
      </w:r>
      <w:r>
        <w:t xml:space="preserve"> forgery</w:t>
      </w:r>
      <w:r w:rsidR="00E273A2">
        <w:t>,</w:t>
      </w:r>
      <w:r>
        <w:t xml:space="preserve"> conspiracy</w:t>
      </w:r>
      <w:r w:rsidR="00E273A2">
        <w:t>,</w:t>
      </w:r>
      <w:r>
        <w:t xml:space="preserve"> incitement</w:t>
      </w:r>
      <w:r w:rsidR="00E273A2">
        <w:t>,</w:t>
      </w:r>
      <w:r>
        <w:t xml:space="preserve"> receiving stolen property</w:t>
      </w:r>
      <w:r w:rsidR="00E273A2">
        <w:t>,</w:t>
      </w:r>
      <w:r>
        <w:t xml:space="preserve"> escape from lawful custody. </w:t>
      </w:r>
    </w:p>
    <w:p w14:paraId="14672B9D" w14:textId="77777777" w:rsidR="005F2607" w:rsidRDefault="0011361B">
      <w:pPr>
        <w:spacing w:line="259" w:lineRule="auto"/>
        <w:ind w:left="0" w:firstLine="0"/>
      </w:pPr>
      <w:r>
        <w:t xml:space="preserve"> </w:t>
      </w:r>
    </w:p>
    <w:p w14:paraId="5500D5EA" w14:textId="77777777" w:rsidR="005F2607" w:rsidRDefault="0011361B">
      <w:pPr>
        <w:spacing w:line="259" w:lineRule="auto"/>
        <w:ind w:left="0" w:firstLine="0"/>
      </w:pPr>
      <w:r>
        <w:t xml:space="preserve"> </w:t>
      </w:r>
    </w:p>
    <w:p w14:paraId="1C1B4E79" w14:textId="77777777" w:rsidR="005F2607" w:rsidRDefault="0011361B">
      <w:pPr>
        <w:pStyle w:val="Heading2"/>
        <w:ind w:left="-5"/>
      </w:pPr>
      <w:r>
        <w:t xml:space="preserve">Schedule 2 </w:t>
      </w:r>
    </w:p>
    <w:p w14:paraId="5E9E30FA" w14:textId="77777777" w:rsidR="005F2607" w:rsidRDefault="0011361B">
      <w:pPr>
        <w:ind w:left="-5"/>
      </w:pPr>
      <w:r>
        <w:t xml:space="preserve">Part I (police bail) </w:t>
      </w:r>
    </w:p>
    <w:p w14:paraId="75C9C96C" w14:textId="42D75736" w:rsidR="005F2607" w:rsidRDefault="0011361B">
      <w:pPr>
        <w:ind w:left="-5"/>
      </w:pPr>
      <w:r>
        <w:t>Possession, conveyance or supply of illegal drugs and liquor</w:t>
      </w:r>
      <w:r w:rsidR="00E273A2">
        <w:t>,</w:t>
      </w:r>
      <w:r>
        <w:t xml:space="preserve"> dealing in illegal precious metals and stones</w:t>
      </w:r>
      <w:r w:rsidR="00E273A2">
        <w:t>,</w:t>
      </w:r>
      <w:r>
        <w:t xml:space="preserve"> theft</w:t>
      </w:r>
      <w:r w:rsidR="00E273A2">
        <w:t>,</w:t>
      </w:r>
      <w:r>
        <w:t xml:space="preserve"> breaking and entering. </w:t>
      </w:r>
    </w:p>
    <w:p w14:paraId="594135EF" w14:textId="77777777" w:rsidR="005F2607" w:rsidRDefault="0011361B">
      <w:pPr>
        <w:spacing w:line="259" w:lineRule="auto"/>
        <w:ind w:left="0" w:firstLine="0"/>
      </w:pPr>
      <w:r>
        <w:t xml:space="preserve"> </w:t>
      </w:r>
    </w:p>
    <w:p w14:paraId="35BEFBD9" w14:textId="77777777" w:rsidR="005F2607" w:rsidRDefault="0011361B">
      <w:pPr>
        <w:ind w:left="-5"/>
      </w:pPr>
      <w:r>
        <w:t xml:space="preserve">Part II </w:t>
      </w:r>
    </w:p>
    <w:p w14:paraId="7AD08E7E" w14:textId="1C768556" w:rsidR="005F2607" w:rsidRDefault="0011361B">
      <w:pPr>
        <w:ind w:left="-5"/>
      </w:pPr>
      <w:r>
        <w:t>Treason</w:t>
      </w:r>
      <w:r w:rsidR="00E273A2">
        <w:t>,</w:t>
      </w:r>
      <w:r>
        <w:t xml:space="preserve"> sedition</w:t>
      </w:r>
      <w:r w:rsidR="00E273A2">
        <w:t>,</w:t>
      </w:r>
      <w:r>
        <w:t xml:space="preserve"> murder</w:t>
      </w:r>
      <w:r w:rsidR="00E273A2">
        <w:t>,</w:t>
      </w:r>
      <w:r>
        <w:t xml:space="preserve"> rape</w:t>
      </w:r>
      <w:r w:rsidR="00E273A2">
        <w:t>,</w:t>
      </w:r>
      <w:r>
        <w:t xml:space="preserve"> sexual offences</w:t>
      </w:r>
      <w:r w:rsidR="00E273A2">
        <w:t>,</w:t>
      </w:r>
      <w:r>
        <w:t xml:space="preserve"> robbery</w:t>
      </w:r>
      <w:r w:rsidR="00E273A2">
        <w:t>,</w:t>
      </w:r>
      <w:r>
        <w:t xml:space="preserve"> assault with dangerous weapon</w:t>
      </w:r>
      <w:r w:rsidR="00E273A2">
        <w:t>,</w:t>
      </w:r>
      <w:r>
        <w:t xml:space="preserve"> arson</w:t>
      </w:r>
      <w:r w:rsidR="00E273A2">
        <w:t>,</w:t>
      </w:r>
      <w:r>
        <w:t xml:space="preserve"> breaking and entering</w:t>
      </w:r>
      <w:r w:rsidR="00E273A2">
        <w:t>,</w:t>
      </w:r>
      <w:r>
        <w:t xml:space="preserve"> theft (value exceeds R2 500)</w:t>
      </w:r>
      <w:r w:rsidR="00E273A2">
        <w:t>,</w:t>
      </w:r>
      <w:r>
        <w:t xml:space="preserve"> receiving stolen property. </w:t>
      </w:r>
    </w:p>
    <w:p w14:paraId="2DF76FBC" w14:textId="77777777" w:rsidR="005F2607" w:rsidRDefault="0011361B">
      <w:pPr>
        <w:spacing w:line="259" w:lineRule="auto"/>
        <w:ind w:left="0" w:firstLine="0"/>
      </w:pPr>
      <w:r>
        <w:t xml:space="preserve"> </w:t>
      </w:r>
    </w:p>
    <w:p w14:paraId="088651CC" w14:textId="77777777" w:rsidR="005F2607" w:rsidRDefault="0011361B">
      <w:pPr>
        <w:ind w:left="-5"/>
      </w:pPr>
      <w:r>
        <w:t xml:space="preserve">Part III </w:t>
      </w:r>
    </w:p>
    <w:p w14:paraId="23FCB210" w14:textId="05B6E8E3" w:rsidR="005F2607" w:rsidRDefault="0011361B">
      <w:pPr>
        <w:ind w:left="-5"/>
      </w:pPr>
      <w:r>
        <w:t>Treason</w:t>
      </w:r>
      <w:r w:rsidR="00E273A2">
        <w:t>,</w:t>
      </w:r>
      <w:r>
        <w:t xml:space="preserve"> sedition</w:t>
      </w:r>
      <w:r w:rsidR="00E273A2">
        <w:t>,</w:t>
      </w:r>
      <w:r>
        <w:t xml:space="preserve"> public violence</w:t>
      </w:r>
      <w:r w:rsidR="00E273A2">
        <w:t>,</w:t>
      </w:r>
      <w:r>
        <w:t xml:space="preserve"> arson</w:t>
      </w:r>
      <w:r w:rsidR="00E273A2">
        <w:t>,</w:t>
      </w:r>
      <w:r>
        <w:t xml:space="preserve"> murder</w:t>
      </w:r>
      <w:r w:rsidR="00E273A2">
        <w:t>,</w:t>
      </w:r>
      <w:r>
        <w:t xml:space="preserve"> kidnapping</w:t>
      </w:r>
      <w:r w:rsidR="00E273A2">
        <w:t>,</w:t>
      </w:r>
      <w:r>
        <w:t xml:space="preserve"> child-stealing</w:t>
      </w:r>
      <w:r w:rsidR="00E273A2">
        <w:t>,</w:t>
      </w:r>
      <w:r>
        <w:t xml:space="preserve"> robbery</w:t>
      </w:r>
      <w:r w:rsidR="00E273A2">
        <w:t>,</w:t>
      </w:r>
      <w:r>
        <w:t xml:space="preserve"> housebreaking. </w:t>
      </w:r>
    </w:p>
    <w:p w14:paraId="3047D712" w14:textId="77777777" w:rsidR="005F2607" w:rsidRDefault="0011361B">
      <w:pPr>
        <w:spacing w:line="259" w:lineRule="auto"/>
        <w:ind w:left="0" w:firstLine="0"/>
      </w:pPr>
      <w:r>
        <w:t xml:space="preserve"> </w:t>
      </w:r>
    </w:p>
    <w:p w14:paraId="4F129D69" w14:textId="77777777" w:rsidR="005F2607" w:rsidRDefault="0011361B">
      <w:pPr>
        <w:spacing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182DB71D" w14:textId="43D2124E" w:rsidR="005F2607" w:rsidRDefault="0011361B">
      <w:pPr>
        <w:pStyle w:val="Heading2"/>
        <w:ind w:left="-5"/>
      </w:pPr>
      <w:r>
        <w:t xml:space="preserve">Schedule 3 (minor offences </w:t>
      </w:r>
      <w:r>
        <w:rPr>
          <w:rFonts w:ascii="Arial" w:eastAsia="Arial" w:hAnsi="Arial" w:cs="Arial"/>
        </w:rPr>
        <w:t>–</w:t>
      </w:r>
      <w:r>
        <w:t xml:space="preserve"> fine) </w:t>
      </w:r>
    </w:p>
    <w:p w14:paraId="2CD69194" w14:textId="0AA4764B" w:rsidR="005F2607" w:rsidRDefault="0011361B">
      <w:pPr>
        <w:ind w:left="-5"/>
      </w:pPr>
      <w:r>
        <w:t>Contravening of a town/city/community by-law</w:t>
      </w:r>
      <w:r w:rsidR="00E273A2">
        <w:t>,</w:t>
      </w:r>
      <w:r>
        <w:t xml:space="preserve"> driving offences: speed limit, no lights, illegal stopping, defective vehicle, no </w:t>
      </w:r>
      <w:proofErr w:type="spellStart"/>
      <w:r>
        <w:t>licence</w:t>
      </w:r>
      <w:proofErr w:type="spellEnd"/>
      <w:r>
        <w:t xml:space="preserve">. </w:t>
      </w:r>
    </w:p>
    <w:p w14:paraId="3E9B9D87" w14:textId="77777777" w:rsidR="005F2607" w:rsidRDefault="0011361B">
      <w:pPr>
        <w:spacing w:line="259" w:lineRule="auto"/>
        <w:ind w:left="0" w:firstLine="0"/>
      </w:pPr>
      <w:r>
        <w:t xml:space="preserve"> </w:t>
      </w:r>
    </w:p>
    <w:p w14:paraId="72F717CF" w14:textId="77777777" w:rsidR="005F2607" w:rsidRDefault="0011361B">
      <w:pPr>
        <w:spacing w:line="259" w:lineRule="auto"/>
        <w:ind w:left="0" w:firstLine="0"/>
      </w:pPr>
      <w:r>
        <w:t xml:space="preserve"> </w:t>
      </w:r>
    </w:p>
    <w:p w14:paraId="0C596341" w14:textId="77777777" w:rsidR="005F2607" w:rsidRDefault="0011361B">
      <w:pPr>
        <w:pStyle w:val="Heading2"/>
        <w:ind w:left="-5"/>
      </w:pPr>
      <w:r>
        <w:t xml:space="preserve">Schedule 5 (serious crimes) </w:t>
      </w:r>
    </w:p>
    <w:p w14:paraId="5C415C40" w14:textId="5C6195C3" w:rsidR="005F2607" w:rsidRDefault="0011361B">
      <w:pPr>
        <w:ind w:left="-5"/>
      </w:pPr>
      <w:r>
        <w:t>Treason</w:t>
      </w:r>
      <w:r w:rsidR="00E273A2">
        <w:t>,</w:t>
      </w:r>
      <w:r>
        <w:t xml:space="preserve"> murder</w:t>
      </w:r>
      <w:r w:rsidR="00E273A2">
        <w:t>,</w:t>
      </w:r>
      <w:r>
        <w:t xml:space="preserve"> attempted murder with GBH</w:t>
      </w:r>
      <w:r w:rsidR="00E273A2">
        <w:t>,</w:t>
      </w:r>
      <w:r>
        <w:t xml:space="preserve"> rape</w:t>
      </w:r>
      <w:r w:rsidR="00E273A2">
        <w:t>,</w:t>
      </w:r>
      <w:r>
        <w:t xml:space="preserve"> drug offences in Drug and Drug Trafficking Act</w:t>
      </w:r>
      <w:r w:rsidR="00E273A2">
        <w:t>,</w:t>
      </w:r>
      <w:r>
        <w:t xml:space="preserve"> firearm and ammunition offences</w:t>
      </w:r>
      <w:r w:rsidR="00E273A2">
        <w:t>,</w:t>
      </w:r>
      <w:r>
        <w:t xml:space="preserve"> offences in Prevention and Combating of Corrupt Activities Act. </w:t>
      </w:r>
    </w:p>
    <w:p w14:paraId="527CE076" w14:textId="77777777" w:rsidR="005F2607" w:rsidRDefault="0011361B">
      <w:pPr>
        <w:spacing w:line="259" w:lineRule="auto"/>
        <w:ind w:left="0" w:firstLine="0"/>
      </w:pPr>
      <w:r>
        <w:t xml:space="preserve"> </w:t>
      </w:r>
    </w:p>
    <w:p w14:paraId="1BBBE736" w14:textId="77777777" w:rsidR="005F2607" w:rsidRDefault="0011361B">
      <w:pPr>
        <w:spacing w:line="259" w:lineRule="auto"/>
        <w:ind w:left="0" w:firstLine="0"/>
      </w:pPr>
      <w:r>
        <w:rPr>
          <w:color w:val="0000FF"/>
        </w:rPr>
        <w:t xml:space="preserve"> </w:t>
      </w:r>
    </w:p>
    <w:p w14:paraId="12A1BC04" w14:textId="77777777" w:rsidR="005F2607" w:rsidRDefault="0011361B">
      <w:pPr>
        <w:pStyle w:val="Heading2"/>
        <w:ind w:left="-5"/>
      </w:pPr>
      <w:r>
        <w:t xml:space="preserve">Schedule 6 (most serious offences) </w:t>
      </w:r>
    </w:p>
    <w:p w14:paraId="61B69E2C" w14:textId="3F9070E5" w:rsidR="005F2607" w:rsidRDefault="0011361B">
      <w:pPr>
        <w:ind w:left="-5"/>
      </w:pPr>
      <w:r>
        <w:t>Premeditated murder</w:t>
      </w:r>
      <w:r w:rsidR="00E273A2">
        <w:t>,</w:t>
      </w:r>
      <w:r>
        <w:t xml:space="preserve"> murder of victim, such as law officer or witness</w:t>
      </w:r>
      <w:r w:rsidR="00E273A2">
        <w:t>,</w:t>
      </w:r>
      <w:r>
        <w:t xml:space="preserve"> death of victim in rape or robbery</w:t>
      </w:r>
      <w:r w:rsidR="00E273A2">
        <w:t>,</w:t>
      </w:r>
      <w:r>
        <w:t xml:space="preserve"> multiple rape by co-perpetrators</w:t>
      </w:r>
      <w:r w:rsidR="00E273A2">
        <w:t>,</w:t>
      </w:r>
      <w:r>
        <w:t xml:space="preserve"> rape by person with HIV</w:t>
      </w:r>
      <w:r w:rsidR="00E273A2">
        <w:t>,</w:t>
      </w:r>
      <w:r>
        <w:t xml:space="preserve"> rape of underage child</w:t>
      </w:r>
      <w:r w:rsidR="00E273A2">
        <w:t>,</w:t>
      </w:r>
      <w:r>
        <w:t xml:space="preserve"> robbery by firearm</w:t>
      </w:r>
      <w:r w:rsidR="00E273A2">
        <w:t>,</w:t>
      </w:r>
      <w:r>
        <w:t xml:space="preserve"> offences in Civil Aviation Offences Act</w:t>
      </w:r>
      <w:r w:rsidR="00E273A2">
        <w:t>,</w:t>
      </w:r>
      <w:r>
        <w:rPr>
          <w:color w:val="0000FF"/>
        </w:rPr>
        <w:t xml:space="preserve"> </w:t>
      </w:r>
      <w:r>
        <w:t xml:space="preserve">offences related to Protection of Constitutional Democracy against Terrorist and Related Activities Act. </w:t>
      </w:r>
    </w:p>
    <w:p w14:paraId="35DEEB15" w14:textId="77777777" w:rsidR="005F2607" w:rsidRDefault="0011361B">
      <w:pPr>
        <w:spacing w:line="259" w:lineRule="auto"/>
        <w:ind w:left="0" w:firstLine="0"/>
      </w:pPr>
      <w:r>
        <w:t xml:space="preserve"> </w:t>
      </w:r>
    </w:p>
    <w:p w14:paraId="43ED4A16" w14:textId="77777777" w:rsidR="005F2607" w:rsidRDefault="0011361B">
      <w:pPr>
        <w:spacing w:line="259" w:lineRule="auto"/>
        <w:ind w:left="0" w:firstLine="0"/>
      </w:pPr>
      <w:r>
        <w:rPr>
          <w:color w:val="0000FF"/>
        </w:rPr>
        <w:t xml:space="preserve"> </w:t>
      </w:r>
    </w:p>
    <w:p w14:paraId="01401672" w14:textId="77777777" w:rsidR="005F2607" w:rsidRDefault="0011361B">
      <w:pPr>
        <w:pStyle w:val="Heading2"/>
        <w:ind w:left="-5"/>
      </w:pPr>
      <w:r>
        <w:t xml:space="preserve">Schedule 7 (Prosecutorial bail) </w:t>
      </w:r>
    </w:p>
    <w:p w14:paraId="12A9CED6" w14:textId="3B4484C9" w:rsidR="005F2607" w:rsidRDefault="0011361B">
      <w:pPr>
        <w:spacing w:after="1492"/>
        <w:ind w:left="-5"/>
      </w:pPr>
      <w:r>
        <w:t>Public violence</w:t>
      </w:r>
      <w:r w:rsidR="00E273A2">
        <w:t>,</w:t>
      </w:r>
      <w:r>
        <w:t xml:space="preserve"> culpable homicide</w:t>
      </w:r>
      <w:r w:rsidR="00E273A2">
        <w:t>,</w:t>
      </w:r>
      <w:r>
        <w:t xml:space="preserve"> bestiality</w:t>
      </w:r>
      <w:r w:rsidR="00E273A2">
        <w:t>,</w:t>
      </w:r>
      <w:r>
        <w:t xml:space="preserve"> assault (GBH)</w:t>
      </w:r>
      <w:r w:rsidR="00E273A2">
        <w:t>,</w:t>
      </w:r>
      <w:r>
        <w:t xml:space="preserve"> arson</w:t>
      </w:r>
      <w:r w:rsidR="00E273A2">
        <w:t>,</w:t>
      </w:r>
      <w:r>
        <w:t xml:space="preserve"> housebreaking</w:t>
      </w:r>
      <w:r w:rsidR="00E273A2">
        <w:t>,</w:t>
      </w:r>
      <w:r>
        <w:t xml:space="preserve"> malicious damage</w:t>
      </w:r>
      <w:r w:rsidR="00E273A2">
        <w:t>,</w:t>
      </w:r>
      <w:r>
        <w:t xml:space="preserve"> robbery (less than R20 000)</w:t>
      </w:r>
      <w:r w:rsidR="00E273A2">
        <w:t>,</w:t>
      </w:r>
      <w:r>
        <w:t xml:space="preserve"> theft (less than R20 000)</w:t>
      </w:r>
      <w:r w:rsidR="00E273A2">
        <w:t>,</w:t>
      </w:r>
      <w:r>
        <w:t xml:space="preserve"> possession of drugs</w:t>
      </w:r>
      <w:r w:rsidR="00E273A2">
        <w:t>,</w:t>
      </w:r>
      <w:r>
        <w:t xml:space="preserve"> extortion, fraud, </w:t>
      </w:r>
      <w:proofErr w:type="gramStart"/>
      <w:r>
        <w:t>forgery</w:t>
      </w:r>
      <w:proofErr w:type="gramEnd"/>
      <w:r>
        <w:t xml:space="preserve"> or uttering (less than R20 000). </w:t>
      </w:r>
    </w:p>
    <w:p w14:paraId="17709CCC" w14:textId="77777777" w:rsidR="005F2607" w:rsidRDefault="0011361B">
      <w:pPr>
        <w:spacing w:before="9" w:after="71" w:line="259" w:lineRule="auto"/>
        <w:ind w:left="17"/>
        <w:jc w:val="center"/>
      </w:pPr>
      <w:r>
        <w:rPr>
          <w:rFonts w:ascii="Arial" w:eastAsia="Arial" w:hAnsi="Arial" w:cs="Arial"/>
          <w:color w:val="4C4C4C"/>
          <w:sz w:val="16"/>
        </w:rPr>
        <w:t>Downloaded by Marshal Khosa (marshalk.online@gmail.com)</w:t>
      </w:r>
    </w:p>
    <w:sectPr w:rsidR="005F2607">
      <w:pgSz w:w="11906" w:h="16838"/>
      <w:pgMar w:top="1440" w:right="144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607"/>
    <w:rsid w:val="0011361B"/>
    <w:rsid w:val="005F2607"/>
    <w:rsid w:val="00B56B26"/>
    <w:rsid w:val="00D25588"/>
    <w:rsid w:val="00E273A2"/>
    <w:rsid w:val="00F5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69FE"/>
  <w15:docId w15:val="{BC1D8F32-095B-47F8-8414-A70F3536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ocu.com/en-za/course/university-of-kwazulu-natal/criminal-procedure/4048441?utm_campaign=shared-document&amp;utm_source=studocu-document&amp;utm_medium=social_sharing&amp;utm_content=schedules-criminal-procedure-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udocu.com/en-za/document/university-of-kwazulu-natal/criminal-procedure/schedules-criminal-procedure-act/33475708?utm_campaign=shared-document&amp;utm_source=studocu-document&amp;utm_medium=social_sharing&amp;utm_content=schedules-criminal-procedure-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420</Words>
  <Characters>2395</Characters>
  <Application>Microsoft Office Word</Application>
  <DocSecurity>4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Schedules Criminal Procedure Act</dc:title>
  <dc:subject/>
  <dc:creator>Marshal Khosa</dc:creator>
  <cp:keywords/>
  <cp:lastModifiedBy>Marshal Khosa</cp:lastModifiedBy>
  <cp:revision>5</cp:revision>
  <dcterms:created xsi:type="dcterms:W3CDTF">2023-01-18T02:33:00Z</dcterms:created>
  <dcterms:modified xsi:type="dcterms:W3CDTF">2023-01-18T22:05:00Z</dcterms:modified>
</cp:coreProperties>
</file>