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br w:type="textWrapping"/>
        <w:t xml:space="preserve">Scoping start date: </w:t>
      </w:r>
      <w:r w:rsidDel="00000000" w:rsidR="00000000" w:rsidRPr="00000000">
        <w:rPr>
          <w:sz w:val="20"/>
          <w:szCs w:val="20"/>
          <w:rtl w:val="0"/>
        </w:rPr>
        <w:t xml:space="preserve">May 22, 2025</w:t>
      </w:r>
      <w:r w:rsidDel="00000000" w:rsidR="00000000" w:rsidRPr="00000000">
        <w:rPr>
          <w:sz w:val="20"/>
          <w:szCs w:val="20"/>
          <w:rtl w:val="0"/>
        </w:rPr>
        <w:t xml:space="preserve"> </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May 29, 2025</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Apr 17, 2025</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N/a</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412665766"/>
          <w:dropDownList w:lastValue="Jarret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e5cff2"/>
              <w:sz w:val="20"/>
              <w:szCs w:val="20"/>
              <w:shd w:fill="5a3286" w:val="clear"/>
            </w:rPr>
            <w:t xml:space="preserve">Jarrett</w:t>
          </w:r>
        </w:sdtContent>
      </w:sdt>
      <w:r w:rsidDel="00000000" w:rsidR="00000000" w:rsidRPr="00000000">
        <w:rPr>
          <w:sz w:val="20"/>
          <w:szCs w:val="20"/>
          <w:rtl w:val="0"/>
        </w:rPr>
        <w:br w:type="textWrapping"/>
        <w:t xml:space="preserve">Implementation POC: </w:t>
      </w:r>
      <w:sdt>
        <w:sdtPr>
          <w:alias w:val="Stage"/>
          <w:id w:val="-1487294992"/>
          <w:dropDownList w:lastValue="Royce">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1892261069"/>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2036004132"/>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Head of Finance / DRI: Nadav Yuhjtman</w:t>
        <w:br w:type="textWrapping"/>
        <w:t xml:space="preserve">Senior Accountant: Leslie Romer</w:t>
      </w:r>
    </w:p>
    <w:p w:rsidR="00000000" w:rsidDel="00000000" w:rsidP="00000000" w:rsidRDefault="00000000" w:rsidRPr="00000000" w14:paraId="0000000D">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Accounting Firm: Countsy (outsourced, transitioning out)</w:t>
      </w:r>
    </w:p>
    <w:p w:rsidR="00000000" w:rsidDel="00000000" w:rsidP="00000000" w:rsidRDefault="00000000" w:rsidRPr="00000000" w14:paraId="0000000E">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Main Point of Contact for Tabs: Nadav</w:t>
      </w:r>
    </w:p>
    <w:p w:rsidR="00000000" w:rsidDel="00000000" w:rsidP="00000000" w:rsidRDefault="00000000" w:rsidRPr="00000000" w14:paraId="0000000F">
      <w:pPr>
        <w:pStyle w:val="Heading3"/>
        <w:keepNext w:val="0"/>
        <w:keepLines w:val="0"/>
        <w:numPr>
          <w:ilvl w:val="0"/>
          <w:numId w:val="3"/>
        </w:numPr>
        <w:spacing w:after="0" w:before="0" w:lineRule="auto"/>
        <w:ind w:left="720" w:hanging="360"/>
        <w:rPr>
          <w:rFonts w:ascii="Inter" w:cs="Inter" w:eastAsia="Inter" w:hAnsi="Inter"/>
          <w:sz w:val="20"/>
          <w:szCs w:val="20"/>
        </w:rPr>
      </w:pPr>
      <w:bookmarkStart w:colFirst="0" w:colLast="0" w:name="_m182c7ief0em" w:id="4"/>
      <w:bookmarkEnd w:id="4"/>
      <w:r w:rsidDel="00000000" w:rsidR="00000000" w:rsidRPr="00000000">
        <w:rPr>
          <w:rFonts w:ascii="Inter" w:cs="Inter" w:eastAsia="Inter" w:hAnsi="Inter"/>
          <w:sz w:val="20"/>
          <w:szCs w:val="20"/>
          <w:rtl w:val="0"/>
        </w:rPr>
        <w:t xml:space="preserve">Customer Success Target: Streamlined AR, improved audit readiness, single source of truth for finance</w:t>
      </w:r>
    </w:p>
    <w:p w:rsidR="00000000" w:rsidDel="00000000" w:rsidP="00000000" w:rsidRDefault="00000000" w:rsidRPr="00000000" w14:paraId="00000010">
      <w:pPr>
        <w:pStyle w:val="Heading3"/>
        <w:keepNext w:val="0"/>
        <w:keepLines w:val="0"/>
        <w:spacing w:after="0" w:before="0" w:lineRule="auto"/>
        <w:ind w:left="720" w:firstLine="0"/>
        <w:rPr>
          <w:rFonts w:ascii="Inter" w:cs="Inter" w:eastAsia="Inter" w:hAnsi="Inter"/>
          <w:sz w:val="20"/>
          <w:szCs w:val="20"/>
        </w:rPr>
      </w:pPr>
      <w:bookmarkStart w:colFirst="0" w:colLast="0" w:name="_r3lj2o24qxg9" w:id="3"/>
      <w:bookmarkEnd w:id="3"/>
      <w:r w:rsidDel="00000000" w:rsidR="00000000" w:rsidRPr="00000000">
        <w:rPr>
          <w:rtl w:val="0"/>
        </w:rPr>
      </w:r>
    </w:p>
    <w:p w:rsidR="00000000" w:rsidDel="00000000" w:rsidP="00000000" w:rsidRDefault="00000000" w:rsidRPr="00000000" w14:paraId="00000011">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3">
            <w:pPr>
              <w:widowControl w:val="0"/>
              <w:spacing w:line="240" w:lineRule="auto"/>
              <w:rPr>
                <w:sz w:val="20"/>
                <w:szCs w:val="20"/>
              </w:rPr>
            </w:pPr>
            <w:r w:rsidDel="00000000" w:rsidR="00000000" w:rsidRPr="00000000">
              <w:rPr>
                <w:rtl w:val="0"/>
              </w:rPr>
            </w:r>
          </w:p>
          <w:p w:rsidR="00000000" w:rsidDel="00000000" w:rsidP="00000000" w:rsidRDefault="00000000" w:rsidRPr="00000000" w14:paraId="00000014">
            <w:pPr>
              <w:numPr>
                <w:ilvl w:val="0"/>
                <w:numId w:val="2"/>
              </w:numPr>
              <w:spacing w:after="0" w:afterAutospacing="0"/>
              <w:ind w:left="720" w:hanging="360"/>
              <w:rPr>
                <w:sz w:val="20"/>
                <w:szCs w:val="20"/>
              </w:rPr>
            </w:pPr>
            <w:r w:rsidDel="00000000" w:rsidR="00000000" w:rsidRPr="00000000">
              <w:rPr>
                <w:sz w:val="20"/>
                <w:szCs w:val="20"/>
                <w:rtl w:val="0"/>
              </w:rPr>
              <w:t xml:space="preserve">Info on how merchant bills</w:t>
            </w:r>
          </w:p>
          <w:p w:rsidR="00000000" w:rsidDel="00000000" w:rsidP="00000000" w:rsidRDefault="00000000" w:rsidRPr="00000000" w14:paraId="00000015">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Primarily annual SaaS with occasional one-off professional services.</w:t>
            </w:r>
          </w:p>
          <w:p w:rsidR="00000000" w:rsidDel="00000000" w:rsidP="00000000" w:rsidRDefault="00000000" w:rsidRPr="00000000" w14:paraId="00000016">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Bills the prime contractor (e.g., HII), not the end government customer (e.g., CENTCOM).</w:t>
            </w:r>
          </w:p>
          <w:p w:rsidR="00000000" w:rsidDel="00000000" w:rsidP="00000000" w:rsidRDefault="00000000" w:rsidRPr="00000000" w14:paraId="00000017">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Contracts are on third-party paper (usually government/primes).</w:t>
            </w:r>
          </w:p>
          <w:p w:rsidR="00000000" w:rsidDel="00000000" w:rsidP="00000000" w:rsidRDefault="00000000" w:rsidRPr="00000000" w14:paraId="00000018">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sz w:val="20"/>
                <w:szCs w:val="20"/>
                <w:rtl w:val="0"/>
              </w:rPr>
              <w:t xml:space="preserve">Internal preference to report by end-customer entity.</w:t>
              <w:br w:type="textWrapping"/>
            </w:r>
          </w:p>
          <w:p w:rsidR="00000000" w:rsidDel="00000000" w:rsidP="00000000" w:rsidRDefault="00000000" w:rsidRPr="00000000" w14:paraId="00000019">
            <w:pPr>
              <w:numPr>
                <w:ilvl w:val="0"/>
                <w:numId w:val="2"/>
              </w:numPr>
              <w:ind w:left="720" w:hanging="360"/>
              <w:rPr>
                <w:sz w:val="20"/>
                <w:szCs w:val="20"/>
              </w:rPr>
            </w:pPr>
            <w:r w:rsidDel="00000000" w:rsidR="00000000" w:rsidRPr="00000000">
              <w:rPr>
                <w:sz w:val="20"/>
                <w:szCs w:val="20"/>
                <w:rtl w:val="0"/>
              </w:rPr>
              <w:t xml:space="preserve">Is there any important merchant relationship information?</w:t>
              <w:br w:type="textWrapping"/>
              <w:br w:type="textWrapping"/>
              <w:t xml:space="preserve">1) What is the merchant temperament?</w:t>
            </w:r>
          </w:p>
          <w:p w:rsidR="00000000" w:rsidDel="00000000" w:rsidP="00000000" w:rsidRDefault="00000000" w:rsidRPr="00000000" w14:paraId="0000001A">
            <w:pPr>
              <w:ind w:left="720" w:firstLine="0"/>
              <w:rPr>
                <w:sz w:val="20"/>
                <w:szCs w:val="20"/>
              </w:rPr>
            </w:pPr>
            <w:r w:rsidDel="00000000" w:rsidR="00000000" w:rsidRPr="00000000">
              <w:rPr>
                <w:rtl w:val="0"/>
              </w:rPr>
            </w:r>
          </w:p>
          <w:p w:rsidR="00000000" w:rsidDel="00000000" w:rsidP="00000000" w:rsidRDefault="00000000" w:rsidRPr="00000000" w14:paraId="0000001B">
            <w:pPr>
              <w:ind w:left="720" w:firstLine="0"/>
              <w:rPr>
                <w:sz w:val="20"/>
                <w:szCs w:val="20"/>
              </w:rPr>
            </w:pPr>
            <w:r w:rsidDel="00000000" w:rsidR="00000000" w:rsidRPr="00000000">
              <w:rPr>
                <w:sz w:val="20"/>
                <w:szCs w:val="20"/>
                <w:rtl w:val="0"/>
              </w:rPr>
              <w:t xml:space="preserve">Onebrief's temperament is collaborative and eager to move quickly. They see Tabs as a strategic partner to help modernize and automate their financial operations, especially as they transition away from outsourced accounting and prepare for growth.</w:t>
            </w:r>
            <w:r w:rsidDel="00000000" w:rsidR="00000000" w:rsidRPr="00000000">
              <w:rPr>
                <w:rtl w:val="0"/>
              </w:rPr>
            </w:r>
          </w:p>
          <w:p w:rsidR="00000000" w:rsidDel="00000000" w:rsidP="00000000" w:rsidRDefault="00000000" w:rsidRPr="00000000" w14:paraId="0000001C">
            <w:pPr>
              <w:ind w:left="720" w:firstLine="0"/>
              <w:rPr>
                <w:sz w:val="20"/>
                <w:szCs w:val="20"/>
              </w:rPr>
            </w:pPr>
            <w:r w:rsidDel="00000000" w:rsidR="00000000" w:rsidRPr="00000000">
              <w:rPr>
                <w:sz w:val="20"/>
                <w:szCs w:val="20"/>
                <w:rtl w:val="0"/>
              </w:rPr>
              <w:br w:type="textWrapping"/>
              <w:t xml:space="preserve">2) What are the Tabs features that the key POC cares about?</w:t>
            </w:r>
          </w:p>
          <w:p w:rsidR="00000000" w:rsidDel="00000000" w:rsidP="00000000" w:rsidRDefault="00000000" w:rsidRPr="00000000" w14:paraId="0000001D">
            <w:pPr>
              <w:ind w:left="720" w:firstLine="0"/>
              <w:rPr>
                <w:sz w:val="20"/>
                <w:szCs w:val="20"/>
              </w:rPr>
            </w:pPr>
            <w:r w:rsidDel="00000000" w:rsidR="00000000" w:rsidRPr="00000000">
              <w:rPr>
                <w:b w:val="1"/>
                <w:sz w:val="20"/>
                <w:szCs w:val="20"/>
                <w:rtl w:val="0"/>
              </w:rPr>
              <w:t xml:space="preserve">Automated revenue recognition</w:t>
            </w:r>
            <w:r w:rsidDel="00000000" w:rsidR="00000000" w:rsidRPr="00000000">
              <w:rPr>
                <w:sz w:val="20"/>
                <w:szCs w:val="20"/>
                <w:rtl w:val="0"/>
              </w:rPr>
              <w:t xml:space="preserve"> – to eliminate manual rev rec work and avoid using NetSuite’s revenue module.</w:t>
              <w:br w:type="textWrapping"/>
            </w:r>
          </w:p>
          <w:p w:rsidR="00000000" w:rsidDel="00000000" w:rsidP="00000000" w:rsidRDefault="00000000" w:rsidRPr="00000000" w14:paraId="0000001E">
            <w:pPr>
              <w:ind w:left="720" w:firstLine="0"/>
              <w:rPr>
                <w:sz w:val="20"/>
                <w:szCs w:val="20"/>
              </w:rPr>
            </w:pPr>
            <w:r w:rsidDel="00000000" w:rsidR="00000000" w:rsidRPr="00000000">
              <w:rPr>
                <w:b w:val="1"/>
                <w:sz w:val="20"/>
                <w:szCs w:val="20"/>
                <w:rtl w:val="0"/>
              </w:rPr>
              <w:t xml:space="preserve">Contract ingestion via AI</w:t>
            </w:r>
            <w:r w:rsidDel="00000000" w:rsidR="00000000" w:rsidRPr="00000000">
              <w:rPr>
                <w:sz w:val="20"/>
                <w:szCs w:val="20"/>
                <w:rtl w:val="0"/>
              </w:rPr>
              <w:t xml:space="preserve"> – to handle complex government and third-party contracts without manual data entry.</w:t>
              <w:br w:type="textWrapping"/>
            </w:r>
          </w:p>
          <w:p w:rsidR="00000000" w:rsidDel="00000000" w:rsidP="00000000" w:rsidRDefault="00000000" w:rsidRPr="00000000" w14:paraId="0000001F">
            <w:pPr>
              <w:ind w:left="720" w:firstLine="0"/>
              <w:rPr>
                <w:sz w:val="20"/>
                <w:szCs w:val="20"/>
              </w:rPr>
            </w:pPr>
            <w:r w:rsidDel="00000000" w:rsidR="00000000" w:rsidRPr="00000000">
              <w:rPr>
                <w:b w:val="1"/>
                <w:sz w:val="20"/>
                <w:szCs w:val="20"/>
                <w:rtl w:val="0"/>
              </w:rPr>
              <w:t xml:space="preserve">Integrated invoicing and collections</w:t>
            </w:r>
            <w:r w:rsidDel="00000000" w:rsidR="00000000" w:rsidRPr="00000000">
              <w:rPr>
                <w:sz w:val="20"/>
                <w:szCs w:val="20"/>
                <w:rtl w:val="0"/>
              </w:rPr>
              <w:t xml:space="preserve"> – to centralize AR, automate billing, and manage government-specific billing workflows.</w:t>
            </w:r>
          </w:p>
          <w:p w:rsidR="00000000" w:rsidDel="00000000" w:rsidP="00000000" w:rsidRDefault="00000000" w:rsidRPr="00000000" w14:paraId="00000020">
            <w:pPr>
              <w:ind w:left="720" w:firstLine="0"/>
              <w:rPr>
                <w:sz w:val="20"/>
                <w:szCs w:val="20"/>
              </w:rPr>
            </w:pPr>
            <w:r w:rsidDel="00000000" w:rsidR="00000000" w:rsidRPr="00000000">
              <w:rPr>
                <w:rtl w:val="0"/>
              </w:rPr>
            </w:r>
          </w:p>
          <w:p w:rsidR="00000000" w:rsidDel="00000000" w:rsidP="00000000" w:rsidRDefault="00000000" w:rsidRPr="00000000" w14:paraId="00000021">
            <w:pPr>
              <w:ind w:left="720" w:firstLine="0"/>
              <w:rPr>
                <w:sz w:val="20"/>
                <w:szCs w:val="20"/>
              </w:rPr>
            </w:pPr>
            <w:r w:rsidDel="00000000" w:rsidR="00000000" w:rsidRPr="00000000">
              <w:rPr>
                <w:rtl w:val="0"/>
              </w:rPr>
            </w:r>
          </w:p>
          <w:p w:rsidR="00000000" w:rsidDel="00000000" w:rsidP="00000000" w:rsidRDefault="00000000" w:rsidRPr="00000000" w14:paraId="00000022">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23">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24">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6">
      <w:pPr>
        <w:rPr>
          <w:sz w:val="20"/>
          <w:szCs w:val="20"/>
        </w:rPr>
      </w:pPr>
      <w:r w:rsidDel="00000000" w:rsidR="00000000" w:rsidRPr="00000000">
        <w:rPr>
          <w:sz w:val="20"/>
          <w:szCs w:val="20"/>
          <w:rtl w:val="0"/>
        </w:rPr>
        <w:t xml:space="preserve">Summary of what company does:</w:t>
        <w:br w:type="textWrapping"/>
        <w:br w:type="textWrapping"/>
        <w:t xml:space="preserve">Onebrief is a government-focused SaaS company selling to U.S. government entities (e.g., CENTCOM) through subcontracting relationships with government primes. They are rapidly scaling their internal finance operations, moving from outsourced accounting (Countsy) to building an in-house team led by Nadav Yuhjtman (Head of Finance).</w:t>
      </w:r>
    </w:p>
    <w:p w:rsidR="00000000" w:rsidDel="00000000" w:rsidP="00000000" w:rsidRDefault="00000000" w:rsidRPr="00000000" w14:paraId="00000027">
      <w:pPr>
        <w:rPr>
          <w:sz w:val="20"/>
          <w:szCs w:val="20"/>
        </w:rPr>
      </w:pP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A">
      <w:pPr>
        <w:rPr>
          <w:sz w:val="20"/>
          <w:szCs w:val="20"/>
        </w:rPr>
      </w:pPr>
      <w:r w:rsidDel="00000000" w:rsidR="00000000" w:rsidRPr="00000000">
        <w:rPr>
          <w:sz w:val="20"/>
          <w:szCs w:val="20"/>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B">
      <w:pPr>
        <w:spacing w:after="240" w:before="240" w:lineRule="auto"/>
        <w:rPr>
          <w:sz w:val="20"/>
          <w:szCs w:val="20"/>
        </w:rPr>
      </w:pPr>
      <w:r w:rsidDel="00000000" w:rsidR="00000000" w:rsidRPr="00000000">
        <w:rPr>
          <w:sz w:val="20"/>
          <w:szCs w:val="20"/>
          <w:rtl w:val="0"/>
        </w:rPr>
        <w:t xml:space="preserve">They’re looking to replace manual billing and rev rec processes with a centralized, automated platform to prepare for scale. Tabs is seen as a strategic platform to replace NetSuite’s revenue module, centralize contract/invoice data, and support government billing complexities.</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E">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F">
      <w:pPr>
        <w:numPr>
          <w:ilvl w:val="0"/>
          <w:numId w:val="1"/>
        </w:numPr>
        <w:ind w:left="720" w:hanging="360"/>
        <w:rPr>
          <w:sz w:val="20"/>
          <w:szCs w:val="20"/>
        </w:rPr>
      </w:pPr>
      <w:r w:rsidDel="00000000" w:rsidR="00000000" w:rsidRPr="00000000">
        <w:rPr>
          <w:sz w:val="20"/>
          <w:szCs w:val="20"/>
          <w:rtl w:val="0"/>
        </w:rPr>
        <w:t xml:space="preserve">Are there unique things about the customer creation process for this merchant?</w:t>
      </w:r>
    </w:p>
    <w:p w:rsidR="00000000" w:rsidDel="00000000" w:rsidP="00000000" w:rsidRDefault="00000000" w:rsidRPr="00000000" w14:paraId="00000030">
      <w:pPr>
        <w:rPr>
          <w:sz w:val="20"/>
          <w:szCs w:val="20"/>
        </w:rPr>
      </w:pPr>
      <w:r w:rsidDel="00000000" w:rsidR="00000000" w:rsidRPr="00000000">
        <w:rPr>
          <w:sz w:val="20"/>
          <w:szCs w:val="20"/>
          <w:rtl w:val="0"/>
        </w:rPr>
        <w:t xml:space="preserve">Contracts are on third-party paper (usually government/primes).</w:t>
        <w:br w:type="textWrapping"/>
      </w:r>
    </w:p>
    <w:p w:rsidR="00000000" w:rsidDel="00000000" w:rsidP="00000000" w:rsidRDefault="00000000" w:rsidRPr="00000000" w14:paraId="00000031">
      <w:pPr>
        <w:numPr>
          <w:ilvl w:val="0"/>
          <w:numId w:val="1"/>
        </w:numPr>
        <w:ind w:left="720" w:hanging="360"/>
        <w:rPr>
          <w:b w:val="1"/>
          <w:sz w:val="20"/>
          <w:szCs w:val="20"/>
        </w:rPr>
      </w:pPr>
      <w:r w:rsidDel="00000000" w:rsidR="00000000" w:rsidRPr="00000000">
        <w:rPr>
          <w:b w:val="1"/>
          <w:sz w:val="20"/>
          <w:szCs w:val="20"/>
          <w:rtl w:val="0"/>
        </w:rPr>
        <w:t xml:space="preserve">Information on how merchant bills</w:t>
      </w:r>
    </w:p>
    <w:p w:rsidR="00000000" w:rsidDel="00000000" w:rsidP="00000000" w:rsidRDefault="00000000" w:rsidRPr="00000000" w14:paraId="00000032">
      <w:pPr>
        <w:rPr>
          <w:sz w:val="20"/>
          <w:szCs w:val="20"/>
        </w:rPr>
      </w:pPr>
      <w:r w:rsidDel="00000000" w:rsidR="00000000" w:rsidRPr="00000000">
        <w:rPr>
          <w:sz w:val="20"/>
          <w:szCs w:val="20"/>
          <w:rtl w:val="0"/>
        </w:rPr>
        <w:t xml:space="preserve">Bills the prime contractor (e.g., HII), not the end government customer (e.g., CENTCOM).</w:t>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numPr>
          <w:ilvl w:val="0"/>
          <w:numId w:val="1"/>
        </w:numPr>
        <w:ind w:left="720" w:hanging="360"/>
        <w:rPr>
          <w:sz w:val="20"/>
          <w:szCs w:val="20"/>
        </w:rPr>
      </w:pPr>
      <w:r w:rsidDel="00000000" w:rsidR="00000000" w:rsidRPr="00000000">
        <w:rPr>
          <w:sz w:val="20"/>
          <w:szCs w:val="20"/>
          <w:rtl w:val="0"/>
        </w:rPr>
        <w:t xml:space="preserve">How contract is broken up</w:t>
      </w:r>
    </w:p>
    <w:p w:rsidR="00000000" w:rsidDel="00000000" w:rsidP="00000000" w:rsidRDefault="00000000" w:rsidRPr="00000000" w14:paraId="00000035">
      <w:pPr>
        <w:rPr>
          <w:sz w:val="20"/>
          <w:szCs w:val="20"/>
        </w:rPr>
      </w:pPr>
      <w:r w:rsidDel="00000000" w:rsidR="00000000" w:rsidRPr="00000000">
        <w:rPr>
          <w:sz w:val="20"/>
          <w:szCs w:val="20"/>
          <w:rtl w:val="0"/>
        </w:rPr>
        <w:t xml:space="preserve">Each is different and on government paper. </w:t>
      </w:r>
    </w:p>
    <w:p w:rsidR="00000000" w:rsidDel="00000000" w:rsidP="00000000" w:rsidRDefault="00000000" w:rsidRPr="00000000" w14:paraId="00000036">
      <w:pPr>
        <w:ind w:left="0" w:firstLine="0"/>
        <w:rPr>
          <w:sz w:val="20"/>
          <w:szCs w:val="20"/>
        </w:rPr>
      </w:pPr>
      <w:r w:rsidDel="00000000" w:rsidR="00000000" w:rsidRPr="00000000">
        <w:rPr>
          <w:rtl w:val="0"/>
        </w:rPr>
      </w:r>
    </w:p>
    <w:p w:rsidR="00000000" w:rsidDel="00000000" w:rsidP="00000000" w:rsidRDefault="00000000" w:rsidRPr="00000000" w14:paraId="0000003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commentRangeStart w:id="0"/>
      <w:r w:rsidDel="00000000" w:rsidR="00000000" w:rsidRPr="00000000">
        <w:rPr>
          <w:sz w:val="20"/>
          <w:szCs w:val="20"/>
          <w:rtl w:val="0"/>
        </w:rPr>
        <w:t xml:space="preserve">Contract Processing Steps</w:t>
      </w:r>
      <w:commentRangeEnd w:id="0"/>
      <w:r w:rsidDel="00000000" w:rsidR="00000000" w:rsidRPr="00000000">
        <w:commentReference w:id="0"/>
      </w:r>
      <w:r w:rsidDel="00000000" w:rsidR="00000000" w:rsidRPr="00000000">
        <w:rPr>
          <w:sz w:val="20"/>
          <w:szCs w:val="20"/>
          <w:rtl w:val="0"/>
        </w:rPr>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38">
      <w:pPr>
        <w:numPr>
          <w:ilvl w:val="0"/>
          <w:numId w:val="6"/>
        </w:numPr>
        <w:ind w:left="720" w:hanging="360"/>
        <w:rPr>
          <w:sz w:val="20"/>
          <w:szCs w:val="20"/>
        </w:rPr>
      </w:pPr>
      <w:r w:rsidDel="00000000" w:rsidR="00000000" w:rsidRPr="00000000">
        <w:rPr>
          <w:sz w:val="20"/>
          <w:szCs w:val="20"/>
          <w:rtl w:val="0"/>
        </w:rPr>
        <w:t xml:space="preserve">Steps to</w:t>
      </w:r>
      <w:commentRangeStart w:id="1"/>
      <w:r w:rsidDel="00000000" w:rsidR="00000000" w:rsidRPr="00000000">
        <w:rPr>
          <w:sz w:val="20"/>
          <w:szCs w:val="20"/>
          <w:rtl w:val="0"/>
        </w:rPr>
        <w:t xml:space="preserve"> process</w:t>
      </w:r>
      <w:commentRangeEnd w:id="1"/>
      <w:r w:rsidDel="00000000" w:rsidR="00000000" w:rsidRPr="00000000">
        <w:commentReference w:id="1"/>
      </w:r>
      <w:r w:rsidDel="00000000" w:rsidR="00000000" w:rsidRPr="00000000">
        <w:rPr>
          <w:sz w:val="20"/>
          <w:szCs w:val="20"/>
          <w:rtl w:val="0"/>
        </w:rPr>
        <w:br w:type="textWrapping"/>
      </w:r>
    </w:p>
    <w:p w:rsidR="00000000" w:rsidDel="00000000" w:rsidP="00000000" w:rsidRDefault="00000000" w:rsidRPr="00000000" w14:paraId="00000039">
      <w:pPr>
        <w:numPr>
          <w:ilvl w:val="0"/>
          <w:numId w:val="6"/>
        </w:numPr>
        <w:ind w:left="720" w:hanging="360"/>
        <w:rPr>
          <w:sz w:val="20"/>
          <w:szCs w:val="20"/>
        </w:rPr>
      </w:pPr>
      <w:r w:rsidDel="00000000" w:rsidR="00000000" w:rsidRPr="00000000">
        <w:rPr>
          <w:sz w:val="20"/>
          <w:szCs w:val="20"/>
          <w:rtl w:val="0"/>
        </w:rPr>
        <w:t xml:space="preserve">Anything to ignore in contracts?</w:t>
        <w:br w:type="textWrapping"/>
      </w:r>
    </w:p>
    <w:p w:rsidR="00000000" w:rsidDel="00000000" w:rsidP="00000000" w:rsidRDefault="00000000" w:rsidRPr="00000000" w14:paraId="0000003A">
      <w:pPr>
        <w:numPr>
          <w:ilvl w:val="0"/>
          <w:numId w:val="6"/>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3B">
      <w:pPr>
        <w:numPr>
          <w:ilvl w:val="0"/>
          <w:numId w:val="6"/>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C">
      <w:pPr>
        <w:numPr>
          <w:ilvl w:val="1"/>
          <w:numId w:val="6"/>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3D">
      <w:pPr>
        <w:numPr>
          <w:ilvl w:val="0"/>
          <w:numId w:val="6"/>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3E">
      <w:pPr>
        <w:numPr>
          <w:ilvl w:val="1"/>
          <w:numId w:val="6"/>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3F">
      <w:pPr>
        <w:numPr>
          <w:ilvl w:val="0"/>
          <w:numId w:val="6"/>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40">
      <w:pPr>
        <w:numPr>
          <w:ilvl w:val="1"/>
          <w:numId w:val="6"/>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41">
      <w:pPr>
        <w:numPr>
          <w:ilvl w:val="0"/>
          <w:numId w:val="6"/>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42">
      <w:pPr>
        <w:numPr>
          <w:ilvl w:val="1"/>
          <w:numId w:val="6"/>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3">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4">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5">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commentRangeStart w:id="2"/>
      <w:r w:rsidDel="00000000" w:rsidR="00000000" w:rsidRPr="00000000">
        <w:rPr>
          <w:rFonts w:ascii="JetBrains Mono SemiBold" w:cs="JetBrains Mono SemiBold" w:eastAsia="JetBrains Mono SemiBold" w:hAnsi="JetBrains Mono SemiBold"/>
          <w:sz w:val="20"/>
          <w:szCs w:val="20"/>
          <w:rtl w:val="0"/>
        </w:rPr>
        <w:t xml:space="preserve">Integration Items</w:t>
      </w:r>
      <w:commentRangeEnd w:id="2"/>
      <w:r w:rsidDel="00000000" w:rsidR="00000000" w:rsidRPr="00000000">
        <w:commentReference w:id="2"/>
      </w:r>
      <w:r w:rsidDel="00000000" w:rsidR="00000000" w:rsidRPr="00000000">
        <w:rPr>
          <w:rFonts w:ascii="JetBrains Mono SemiBold" w:cs="JetBrains Mono SemiBold" w:eastAsia="JetBrains Mono SemiBold" w:hAnsi="JetBrains Mono SemiBold"/>
          <w:sz w:val="20"/>
          <w:szCs w:val="20"/>
          <w:rtl w:val="0"/>
        </w:rPr>
        <w:t xml:space="preserve">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6">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7">
      <w:pPr>
        <w:numPr>
          <w:ilvl w:val="0"/>
          <w:numId w:val="7"/>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What are the instructions for assigning integration items?</w:t>
      </w:r>
    </w:p>
    <w:p w:rsidR="00000000" w:rsidDel="00000000" w:rsidP="00000000" w:rsidRDefault="00000000" w:rsidRPr="00000000" w14:paraId="00000048">
      <w:pPr>
        <w:numPr>
          <w:ilvl w:val="0"/>
          <w:numId w:val="7"/>
        </w:numPr>
        <w:ind w:left="720" w:hanging="360"/>
        <w:rPr>
          <w:sz w:val="20"/>
          <w:szCs w:val="20"/>
        </w:rPr>
      </w:pPr>
      <w:r w:rsidDel="00000000" w:rsidR="00000000" w:rsidRPr="00000000">
        <w:rPr>
          <w:sz w:val="20"/>
          <w:szCs w:val="20"/>
          <w:rtl w:val="0"/>
        </w:rPr>
        <w:t xml:space="preserve">Example: All Statsig integrations items should be labeled as “Sales”</w:t>
      </w:r>
    </w:p>
    <w:p w:rsidR="00000000" w:rsidDel="00000000" w:rsidP="00000000" w:rsidRDefault="00000000" w:rsidRPr="00000000" w14:paraId="00000049">
      <w:pPr>
        <w:numPr>
          <w:ilvl w:val="0"/>
          <w:numId w:val="7"/>
        </w:numPr>
        <w:ind w:left="720" w:hanging="360"/>
        <w:rPr>
          <w:sz w:val="20"/>
          <w:szCs w:val="20"/>
        </w:rPr>
      </w:pPr>
      <w:r w:rsidDel="00000000" w:rsidR="00000000" w:rsidRPr="00000000">
        <w:rPr>
          <w:sz w:val="20"/>
          <w:szCs w:val="20"/>
          <w:rtl w:val="0"/>
        </w:rPr>
        <w:t xml:space="preserve">Example: All “Pinata” integration items should be labeled as “Software Subscription Bundle” unless otherwise noted by Merchant</w:t>
      </w:r>
    </w:p>
    <w:p w:rsidR="00000000" w:rsidDel="00000000" w:rsidP="00000000" w:rsidRDefault="00000000" w:rsidRPr="00000000" w14:paraId="0000004A">
      <w:pPr>
        <w:ind w:left="720" w:firstLine="0"/>
        <w:rPr>
          <w:sz w:val="20"/>
          <w:szCs w:val="20"/>
        </w:rPr>
      </w:pPr>
      <w:r w:rsidDel="00000000" w:rsidR="00000000" w:rsidRPr="00000000">
        <w:rPr>
          <w:rtl w:val="0"/>
        </w:rPr>
      </w:r>
    </w:p>
    <w:p w:rsidR="00000000" w:rsidDel="00000000" w:rsidP="00000000" w:rsidRDefault="00000000" w:rsidRPr="00000000" w14:paraId="0000004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C">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D">
      <w:pPr>
        <w:numPr>
          <w:ilvl w:val="0"/>
          <w:numId w:val="5"/>
        </w:numPr>
        <w:ind w:left="720" w:hanging="360"/>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Does the Ops Team need to notify anyone on the team re: completion of processing batches in Implementation or Active phase?</w:t>
      </w:r>
    </w:p>
    <w:p w:rsidR="00000000" w:rsidDel="00000000" w:rsidP="00000000" w:rsidRDefault="00000000" w:rsidRPr="00000000" w14:paraId="0000004E">
      <w:pPr>
        <w:numPr>
          <w:ilvl w:val="0"/>
          <w:numId w:val="5"/>
        </w:numPr>
        <w:ind w:left="720" w:hanging="360"/>
        <w:rPr>
          <w:sz w:val="20"/>
          <w:szCs w:val="20"/>
        </w:rPr>
      </w:pPr>
      <w:r w:rsidDel="00000000" w:rsidR="00000000" w:rsidRPr="00000000">
        <w:rPr>
          <w:sz w:val="20"/>
          <w:szCs w:val="20"/>
          <w:rtl w:val="0"/>
        </w:rPr>
        <w:t xml:space="preserve">Who needs to be notified and when?</w:t>
      </w:r>
    </w:p>
    <w:p w:rsidR="00000000" w:rsidDel="00000000" w:rsidP="00000000" w:rsidRDefault="00000000" w:rsidRPr="00000000" w14:paraId="0000004F">
      <w:pPr>
        <w:numPr>
          <w:ilvl w:val="1"/>
          <w:numId w:val="5"/>
        </w:numPr>
        <w:ind w:left="1440" w:hanging="360"/>
        <w:rPr>
          <w:sz w:val="20"/>
          <w:szCs w:val="20"/>
        </w:rPr>
      </w:pPr>
      <w:r w:rsidDel="00000000" w:rsidR="00000000" w:rsidRPr="00000000">
        <w:rPr>
          <w:sz w:val="20"/>
          <w:szCs w:val="20"/>
          <w:rtl w:val="0"/>
        </w:rPr>
        <w:t xml:space="preserve">Example:</w:t>
      </w:r>
    </w:p>
    <w:p w:rsidR="00000000" w:rsidDel="00000000" w:rsidP="00000000" w:rsidRDefault="00000000" w:rsidRPr="00000000" w14:paraId="00000050">
      <w:pPr>
        <w:numPr>
          <w:ilvl w:val="2"/>
          <w:numId w:val="5"/>
        </w:numPr>
        <w:ind w:left="2160" w:hanging="360"/>
        <w:rPr>
          <w:sz w:val="20"/>
          <w:szCs w:val="20"/>
        </w:rPr>
      </w:pPr>
      <w:r w:rsidDel="00000000" w:rsidR="00000000" w:rsidRPr="00000000">
        <w:rPr>
          <w:sz w:val="20"/>
          <w:szCs w:val="20"/>
          <w:rtl w:val="0"/>
        </w:rPr>
        <w:t xml:space="preserve">Who: Customer Success [Azmat Aziz] needs to be notified</w:t>
      </w:r>
    </w:p>
    <w:p w:rsidR="00000000" w:rsidDel="00000000" w:rsidP="00000000" w:rsidRDefault="00000000" w:rsidRPr="00000000" w14:paraId="00000051">
      <w:pPr>
        <w:numPr>
          <w:ilvl w:val="2"/>
          <w:numId w:val="5"/>
        </w:numPr>
        <w:ind w:left="2160" w:hanging="360"/>
        <w:rPr>
          <w:sz w:val="20"/>
          <w:szCs w:val="20"/>
        </w:rPr>
      </w:pPr>
      <w:r w:rsidDel="00000000" w:rsidR="00000000" w:rsidRPr="00000000">
        <w:rPr>
          <w:sz w:val="20"/>
          <w:szCs w:val="20"/>
          <w:rtl w:val="0"/>
        </w:rPr>
        <w:t xml:space="preserve">Where: Messari internal merchant channel</w:t>
      </w:r>
    </w:p>
    <w:p w:rsidR="00000000" w:rsidDel="00000000" w:rsidP="00000000" w:rsidRDefault="00000000" w:rsidRPr="00000000" w14:paraId="00000052">
      <w:pPr>
        <w:numPr>
          <w:ilvl w:val="2"/>
          <w:numId w:val="5"/>
        </w:numPr>
        <w:ind w:left="2160" w:hanging="360"/>
        <w:rPr>
          <w:sz w:val="20"/>
          <w:szCs w:val="20"/>
        </w:rPr>
      </w:pPr>
      <w:r w:rsidDel="00000000" w:rsidR="00000000" w:rsidRPr="00000000">
        <w:rPr>
          <w:sz w:val="20"/>
          <w:szCs w:val="20"/>
          <w:rtl w:val="0"/>
        </w:rPr>
        <w:t xml:space="preserve">When: contracts are processed [Merchant Phase: Active]</w:t>
      </w:r>
    </w:p>
    <w:p w:rsidR="00000000" w:rsidDel="00000000" w:rsidP="00000000" w:rsidRDefault="00000000" w:rsidRPr="00000000" w14:paraId="00000053">
      <w:pPr>
        <w:ind w:left="720" w:firstLine="0"/>
        <w:rPr>
          <w:sz w:val="20"/>
          <w:szCs w:val="20"/>
        </w:rPr>
      </w:pPr>
      <w:r w:rsidDel="00000000" w:rsidR="00000000" w:rsidRPr="00000000">
        <w:rPr>
          <w:rtl w:val="0"/>
        </w:rPr>
      </w:r>
    </w:p>
    <w:p w:rsidR="00000000" w:rsidDel="00000000" w:rsidP="00000000" w:rsidRDefault="00000000" w:rsidRPr="00000000" w14:paraId="00000054">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5">
      <w:pPr>
        <w:numPr>
          <w:ilvl w:val="0"/>
          <w:numId w:val="8"/>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56">
      <w:pPr>
        <w:numPr>
          <w:ilvl w:val="1"/>
          <w:numId w:val="8"/>
        </w:numPr>
        <w:ind w:left="1440" w:hanging="360"/>
        <w:rPr>
          <w:sz w:val="20"/>
          <w:szCs w:val="20"/>
        </w:rPr>
      </w:pPr>
      <w:r w:rsidDel="00000000" w:rsidR="00000000" w:rsidRPr="00000000">
        <w:rPr>
          <w:sz w:val="20"/>
          <w:szCs w:val="20"/>
          <w:rtl w:val="0"/>
        </w:rPr>
        <w:t xml:space="preserve">Special memo’s certain invoices require</w:t>
      </w:r>
    </w:p>
    <w:p w:rsidR="00000000" w:rsidDel="00000000" w:rsidP="00000000" w:rsidRDefault="00000000" w:rsidRPr="00000000" w14:paraId="00000057">
      <w:pPr>
        <w:numPr>
          <w:ilvl w:val="1"/>
          <w:numId w:val="8"/>
        </w:numPr>
        <w:ind w:left="1440" w:hanging="360"/>
        <w:rPr>
          <w:sz w:val="20"/>
          <w:szCs w:val="20"/>
        </w:rPr>
      </w:pPr>
      <w:r w:rsidDel="00000000" w:rsidR="00000000" w:rsidRPr="00000000">
        <w:rPr>
          <w:sz w:val="20"/>
          <w:szCs w:val="20"/>
          <w:rtl w:val="0"/>
        </w:rPr>
        <w:t xml:space="preserve">Invoice changes due to merchant/customer relationship</w:t>
      </w:r>
    </w:p>
    <w:p w:rsidR="00000000" w:rsidDel="00000000" w:rsidP="00000000" w:rsidRDefault="00000000" w:rsidRPr="00000000" w14:paraId="00000058">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9">
      <w:pPr>
        <w:numPr>
          <w:ilvl w:val="0"/>
          <w:numId w:val="1"/>
        </w:numPr>
        <w:ind w:left="720" w:hanging="360"/>
        <w:rPr>
          <w:sz w:val="20"/>
          <w:szCs w:val="20"/>
        </w:rPr>
      </w:pPr>
      <w:r w:rsidDel="00000000" w:rsidR="00000000" w:rsidRPr="00000000">
        <w:rPr>
          <w:sz w:val="20"/>
          <w:szCs w:val="20"/>
          <w:rtl w:val="0"/>
        </w:rPr>
        <w:t xml:space="preserve">Mosaic integration- nice to have </w:t>
      </w:r>
    </w:p>
    <w:p w:rsidR="00000000" w:rsidDel="00000000" w:rsidP="00000000" w:rsidRDefault="00000000" w:rsidRPr="00000000" w14:paraId="0000005A">
      <w:pPr>
        <w:ind w:left="0" w:firstLine="0"/>
        <w:rPr>
          <w:sz w:val="20"/>
          <w:szCs w:val="20"/>
        </w:rPr>
      </w:pPr>
      <w:r w:rsidDel="00000000" w:rsidR="00000000" w:rsidRPr="00000000">
        <w:rPr>
          <w:rtl w:val="0"/>
        </w:rPr>
      </w:r>
    </w:p>
    <w:p w:rsidR="00000000" w:rsidDel="00000000" w:rsidP="00000000" w:rsidRDefault="00000000" w:rsidRPr="00000000" w14:paraId="0000005B">
      <w:pPr>
        <w:pStyle w:val="Heading3"/>
        <w:rPr>
          <w:i w:val="1"/>
          <w:color w:val="666666"/>
          <w:sz w:val="16"/>
          <w:szCs w:val="16"/>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0" w:firstLine="0"/>
        <w:rPr>
          <w:sz w:val="20"/>
          <w:szCs w:val="20"/>
          <w:highlight w:val="yellow"/>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Frank Cui" w:id="0" w:date="2025-08-12T15:07:06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Michael said OneBrief's contracts can be complex, especially with the parent-child relationships. Is the MIS ready?</w:t>
      </w:r>
    </w:p>
  </w:comment>
  <w:comment w:author="Frank Cui" w:id="2" w:date="2025-08-12T15:06:22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we clear on integration items?</w:t>
      </w:r>
    </w:p>
  </w:comment>
  <w:comment w:author="Annie Guo" w:id="1" w:date="2025-10-01T21:05:20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@mohammado@tabsplatform.com address how to process this type of contract 3c3423f7-74e7-4297-976b-c8f178d2457a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