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Proposed Paiv MIS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NOTE: If a product has two lengths (see screen shot below). The Product is sequenced across the life of the contract. Example:</w:t>
      </w:r>
    </w:p>
    <w:p w:rsidR="00000000" w:rsidDel="00000000" w:rsidP="00000000" w:rsidRDefault="00000000" w:rsidRPr="00000000" w14:paraId="00000004">
      <w:pPr>
        <w:numPr>
          <w:ilvl w:val="1"/>
          <w:numId w:val="1"/>
        </w:numPr>
        <w:ind w:left="144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Months 1-2 are for quantity 25 * $59 / user for a grand total of $2,950. </w:t>
      </w:r>
    </w:p>
    <w:p w:rsidR="00000000" w:rsidDel="00000000" w:rsidP="00000000" w:rsidRDefault="00000000" w:rsidRPr="00000000" w14:paraId="00000005">
      <w:pPr>
        <w:numPr>
          <w:ilvl w:val="1"/>
          <w:numId w:val="1"/>
        </w:numPr>
        <w:ind w:left="144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Months 3 - 10 are for quantity 45 for a total of $26,550 </w:t>
      </w:r>
    </w:p>
    <w:p w:rsidR="00000000" w:rsidDel="00000000" w:rsidP="00000000" w:rsidRDefault="00000000" w:rsidRPr="00000000" w14:paraId="00000006">
      <w:pPr>
        <w:numPr>
          <w:ilvl w:val="0"/>
          <w:numId w:val="1"/>
        </w:numPr>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This step-up pricing is incorporated into the quarterly invoicing cadence. In the example below the invoice sequence would look as follows when properly processed (Amount in the table below is inclusive of discounts).</w:t>
      </w:r>
    </w:p>
    <w:p w:rsidR="00000000" w:rsidDel="00000000" w:rsidP="00000000" w:rsidRDefault="00000000" w:rsidRPr="00000000" w14:paraId="00000007">
      <w:pPr>
        <w:rPr>
          <w:rFonts w:ascii="Inter" w:cs="Inter" w:eastAsia="Inter" w:hAnsi="Inter"/>
          <w:sz w:val="20"/>
          <w:szCs w:val="20"/>
        </w:rPr>
      </w:pPr>
      <w:r w:rsidDel="00000000" w:rsidR="00000000" w:rsidRPr="00000000">
        <w:rPr>
          <w:rFonts w:ascii="Inter" w:cs="Inter" w:eastAsia="Inter" w:hAnsi="Inter"/>
          <w:sz w:val="20"/>
          <w:szCs w:val="20"/>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tbl>
      <w:tblPr>
        <w:tblStyle w:val="Table1"/>
        <w:tblpPr w:leftFromText="180" w:rightFromText="180" w:topFromText="180" w:bottomFromText="180" w:vertAnchor="text" w:horzAnchor="text" w:tblpX="705" w:tblpY="0"/>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950"/>
        <w:gridCol w:w="1500"/>
        <w:tblGridChange w:id="0">
          <w:tblGrid>
            <w:gridCol w:w="1500"/>
            <w:gridCol w:w="1500"/>
            <w:gridCol w:w="1500"/>
            <w:gridCol w:w="1950"/>
            <w:gridCol w:w="1500"/>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b w:val="1"/>
                <w:sz w:val="20"/>
                <w:szCs w:val="20"/>
                <w:rtl w:val="0"/>
              </w:rPr>
              <w:t xml:space="preserve">Invoice Number</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0"/>
                <w:szCs w:val="20"/>
                <w:rtl w:val="0"/>
              </w:rPr>
              <w:t xml:space="preserve">Product</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sz w:val="20"/>
                <w:szCs w:val="20"/>
                <w:rtl w:val="0"/>
              </w:rPr>
              <w:t xml:space="preserve">Period</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b w:val="1"/>
                <w:sz w:val="20"/>
                <w:szCs w:val="20"/>
                <w:rtl w:val="0"/>
              </w:rPr>
              <w:t xml:space="preserve">Amount</w:t>
            </w:r>
            <w:r w:rsidDel="00000000" w:rsidR="00000000" w:rsidRPr="00000000">
              <w:rPr>
                <w:rtl w:val="0"/>
              </w:rPr>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right"/>
              <w:rPr>
                <w:sz w:val="20"/>
                <w:szCs w:val="20"/>
              </w:rPr>
            </w:pPr>
            <w:r w:rsidDel="00000000" w:rsidR="00000000" w:rsidRPr="00000000">
              <w:rPr>
                <w:sz w:val="20"/>
                <w:szCs w:val="20"/>
                <w:rtl w:val="0"/>
              </w:rPr>
              <w:t xml:space="preserve">1</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1</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Implementation</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Month 1</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$199.00</w:t>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1</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AI Voice</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Month 1 - Month 2</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1</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25</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Field</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Month 1 - Month 2</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$2,950.00</w:t>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1</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45</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Field</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Month 3</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$2,655.00</w:t>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2</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45</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Field</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Month 4 - Month 6</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$7,965.00</w:t>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3</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45</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Field</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Month 7 - Month 9</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$7,965.00</w:t>
            </w:r>
          </w:p>
        </w:tc>
      </w:tr>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4</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45</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Field</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Month 10 - Month 12</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$7,965.00</w:t>
            </w:r>
          </w:p>
        </w:tc>
      </w:tr>
    </w:tbl>
    <w:p w:rsidR="00000000" w:rsidDel="00000000" w:rsidP="00000000" w:rsidRDefault="00000000" w:rsidRPr="00000000" w14:paraId="00000030">
      <w:pPr>
        <w:ind w:left="720"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