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t xml:space="preserve"> Alaffia Health </w:t>
      </w:r>
    </w:p>
    <w:p w:rsidR="00000000" w:rsidDel="00000000" w:rsidP="00000000" w:rsidRDefault="00000000" w:rsidRPr="00000000" w14:paraId="00000002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l01hlc3jqf1y" w:id="1"/>
      <w:bookmarkEnd w:id="1"/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https://app.hubspot.com/contacts/43610657/record/0-3/33176016401/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809741424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Upfront platform fee plus claims usage data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3"/>
              </w:numPr>
              <w:shd w:fill="ffffff" w:val="clear"/>
              <w:ind w:left="72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claims review process: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3"/>
              </w:numPr>
              <w:ind w:left="144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customer sends alaffia list of insurance claims to review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3"/>
              </w:numPr>
              <w:ind w:left="144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alaffia finds customer savings in claims and lists them for review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3"/>
              </w:numPr>
              <w:ind w:left="144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customer signs off on claim review and realized savings</w:t>
            </w:r>
          </w:p>
          <w:p w:rsidR="00000000" w:rsidDel="00000000" w:rsidP="00000000" w:rsidRDefault="00000000" w:rsidRPr="00000000" w14:paraId="0000000D">
            <w:pPr>
              <w:numPr>
                <w:ilvl w:val="1"/>
                <w:numId w:val="3"/>
              </w:numPr>
              <w:ind w:left="144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alaffia then invoices customer for:</w:t>
            </w:r>
          </w:p>
          <w:p w:rsidR="00000000" w:rsidDel="00000000" w:rsidP="00000000" w:rsidRDefault="00000000" w:rsidRPr="00000000" w14:paraId="0000000E">
            <w:pPr>
              <w:numPr>
                <w:ilvl w:val="2"/>
                <w:numId w:val="3"/>
              </w:numPr>
              <w:ind w:left="216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Pre-Payment Claim Reviews: 30% of Realized Savings</w:t>
            </w:r>
          </w:p>
          <w:p w:rsidR="00000000" w:rsidDel="00000000" w:rsidP="00000000" w:rsidRDefault="00000000" w:rsidRPr="00000000" w14:paraId="0000000F">
            <w:pPr>
              <w:numPr>
                <w:ilvl w:val="2"/>
                <w:numId w:val="3"/>
              </w:numPr>
              <w:ind w:left="216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Post-Payment Claim Reviews: 35% of Realized Savings</w:t>
            </w:r>
          </w:p>
          <w:p w:rsidR="00000000" w:rsidDel="00000000" w:rsidP="00000000" w:rsidRDefault="00000000" w:rsidRPr="00000000" w14:paraId="00000010">
            <w:pPr>
              <w:numPr>
                <w:ilvl w:val="2"/>
                <w:numId w:val="3"/>
              </w:numPr>
              <w:ind w:left="2160" w:hanging="360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d9ead3" w:val="clear"/>
                <w:rtl w:val="0"/>
              </w:rPr>
              <w:t xml:space="preserve">Client shall only pay a Service Fee when prevented (on a pre-payment basis) and/or retracted overpayments (on a post-payment basis) have occurred.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Some parent/child relationships with healthcare companies and their subsidiaries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Straightforward, metrics driven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QBO connection, reducing DSO (collections), usage calculations on invoices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b w:val="1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contracts will have usage fees that are a % of realized savings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Ensure that if there are multiple BTs with a % of savings, each has a unique event (events should exist but if they do not, try to match the item name exactly)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implementation is comprised of multiple BTs, process all individually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discounts as a separate negative BT unless it is for a specific item, then use in-line discounting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“Administrative Allowance” %’s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order effective date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Found in “Term/Project Schedule” / “Initial Term”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implementation, assume 2 months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same as service start date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unique names if BTs are similar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item name is too generic, try to use a more specific name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BTs will be monthly in arrears unless stated otherwise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implementation, assume 2 months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Look for a similar clause: “All amounts due hereunder shall be paid in full within thirty (30) calendar days following receipt of invoice in US dollars.“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Otherwise default to 30 days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 contracts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Regular 1 BT Bill Review service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4 different types of BTs with the same % of savings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Implementation fee + tiered service fee and rush service fee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Minimum commitment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Items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[TBD]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5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garage.tabsplatform.com/prod/contracts/89369f68-66ce-4613-9b10-606b70c2312f/usage" TargetMode="External"/><Relationship Id="rId12" Type="http://schemas.openxmlformats.org/officeDocument/2006/relationships/footer" Target="footer1.xml"/><Relationship Id="rId9" Type="http://schemas.openxmlformats.org/officeDocument/2006/relationships/hyperlink" Target="https://garage.tabsplatform.com/prod/contracts/91a4abcb-bf96-4e6a-a619-9d55897a8c95/preview" TargetMode="External"/><Relationship Id="rId5" Type="http://schemas.openxmlformats.org/officeDocument/2006/relationships/styles" Target="styles.xml"/><Relationship Id="rId6" Type="http://schemas.openxmlformats.org/officeDocument/2006/relationships/hyperlink" Target="https://app.hubspot.com/contacts/43610657/record/0-3/33176016401/" TargetMode="External"/><Relationship Id="rId7" Type="http://schemas.openxmlformats.org/officeDocument/2006/relationships/hyperlink" Target="https://garage.tabsplatform.com/prod/contracts/20ec090d-d0c1-41c5-98f5-bc6016b293f9/preview" TargetMode="External"/><Relationship Id="rId8" Type="http://schemas.openxmlformats.org/officeDocument/2006/relationships/hyperlink" Target="https://garage.tabsplatform.com/prod/contracts/9b81270d-cef4-436a-88d9-0799dc2a421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