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Jun 12, 2025</w:t>
        <w:br w:type="textWrapping"/>
        <w:t xml:space="preserve">Scoping start date: Jun 25, 2025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Date:Jun 30, 2025 </w:t>
        <w:br w:type="textWrapping"/>
        <w:t xml:space="preserve">Onboarding Kick Off Date: TBD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 Targeting Mid Q4 2025 (Sep–Oct)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847737110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05222364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037447697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528674385"/>
          <w:dropDownList w:lastValue="Avalara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CFO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: Marc Thomas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Finance Lead / Onboarding POC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: Stacey Sundal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Revenue Ops Lead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: Juan S. Angel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Customer Success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: TBD (but Juan has systems/integration oversight)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6"/>
        </w:numPr>
        <w:spacing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dgdbysjcwr73" w:id="4"/>
      <w:bookmarkEnd w:id="4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Billing/Accounts Receivable POC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: Juan S. Angel</w:t>
        <w:br w:type="textWrapping"/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Self-Serve (PLG)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~30% of customers, &lt;5% of revenue; signup via website, auto-billed via Recurly + Stripe/PayPal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Managed Services (Sales-Led)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~70% of customers, majority of revenue; invoiced manually from Xero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Partner-Led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Monthly data received from partners; reconciled manually; billed via Xero</w:t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Contracts are priced in USD, GBP, or EUR depending on customer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Recurly is used for analytics and some subscription tracking, but not billing for partner deals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 invoices are flat-fee; few usage-based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Tax: VAT logic applied manually (UK/EU rules); no sales tax yet</w:t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Professional services tied to go-live dates</w:t>
              <w:br w:type="textWrapping"/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Collaborative, eager to partner </w:t>
              <w:br w:type="textWrapping"/>
            </w:r>
          </w:p>
          <w:p w:rsidR="00000000" w:rsidDel="00000000" w:rsidP="00000000" w:rsidRDefault="00000000" w:rsidRPr="00000000" w14:paraId="00000020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Audiense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 is a UK-based subscription business recently acquired by Buxton. It has operations across 70+ countries, with most revenue and customers in the U.S. and UK. It sells directly to customers as well as through self-serve and partner-led channels. Its business is SaaS-focused, with complex billing and reporting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Migrate managed services and partner-led workflows from Recurly/Xero into Tabs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Unify billing across direct, self-serve, and partner channels into a central platform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Automate revenue recognition (currently manual)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Support multi-currency and VAT-compliant international invoicing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Replace ChartMogul for ARR/MRR analytics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Reduce dependency on Recurly (ideally retire it post-Tabs)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Eventually consolidate self-serve stack to Stripe + Tabs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3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C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D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E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SSP 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Medium </w:t>
      </w:r>
    </w:p>
    <w:p w:rsidR="00000000" w:rsidDel="00000000" w:rsidP="00000000" w:rsidRDefault="00000000" w:rsidRPr="00000000" w14:paraId="0000006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https://us-56595.app.gong.io/account?id=3747326470864915057&amp;type=ACCOUNT&amp;workspace-id=2531298410931371606&amp;date=2025-06-30&amp;activity-id=7176676839006344460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