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8/20/24</w:t>
        <w:br w:type="textWrapping"/>
        <w:t xml:space="preserve">Scoping start date: 9/5/24</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11/27/24</w:t>
        <w:br w:type="textWrapping"/>
        <w:t xml:space="preserve">Onboarding Kick Off Date: TBD</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r>
      <w:r w:rsidDel="00000000" w:rsidR="00000000" w:rsidRPr="00000000">
        <w:rPr>
          <w:sz w:val="20"/>
          <w:szCs w:val="20"/>
          <w:highlight w:val="yellow"/>
          <w:rtl w:val="0"/>
        </w:rPr>
        <w:t xml:space="preserve">5/27/25</w:t>
      </w:r>
      <w:r w:rsidDel="00000000" w:rsidR="00000000" w:rsidRPr="00000000">
        <w:rPr>
          <w:sz w:val="20"/>
          <w:szCs w:val="20"/>
          <w:rtl w:val="0"/>
        </w:rPr>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2015294275"/>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 </w:t>
      </w:r>
      <w:sdt>
        <w:sdtPr>
          <w:alias w:val="Stage"/>
          <w:id w:val="-734108395"/>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13907447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28281753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numPr>
          <w:ilvl w:val="0"/>
          <w:numId w:val="6"/>
        </w:numPr>
        <w:ind w:left="720" w:hanging="360"/>
        <w:rPr>
          <w:sz w:val="20"/>
          <w:szCs w:val="20"/>
        </w:rPr>
      </w:pPr>
      <w:r w:rsidDel="00000000" w:rsidR="00000000" w:rsidRPr="00000000">
        <w:rPr>
          <w:sz w:val="20"/>
          <w:szCs w:val="20"/>
          <w:rtl w:val="0"/>
        </w:rPr>
        <w:t xml:space="preserve">Aditi Bhatia - VP Finance &amp; Ops</w:t>
      </w:r>
    </w:p>
    <w:p w:rsidR="00000000" w:rsidDel="00000000" w:rsidP="00000000" w:rsidRDefault="00000000" w:rsidRPr="00000000" w14:paraId="0000000C">
      <w:pPr>
        <w:numPr>
          <w:ilvl w:val="0"/>
          <w:numId w:val="6"/>
        </w:numPr>
        <w:ind w:left="720" w:hanging="360"/>
        <w:rPr>
          <w:sz w:val="20"/>
          <w:szCs w:val="20"/>
          <w:u w:val="none"/>
        </w:rPr>
      </w:pPr>
      <w:r w:rsidDel="00000000" w:rsidR="00000000" w:rsidRPr="00000000">
        <w:rPr>
          <w:sz w:val="20"/>
          <w:szCs w:val="20"/>
          <w:rtl w:val="0"/>
        </w:rPr>
        <w:t xml:space="preserve">Mike Mumma - Director Strategy &amp; Ops</w:t>
      </w:r>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0">
            <w:pPr>
              <w:numPr>
                <w:ilvl w:val="0"/>
                <w:numId w:val="3"/>
              </w:numPr>
              <w:ind w:left="720" w:hanging="360"/>
              <w:rPr>
                <w:sz w:val="20"/>
                <w:szCs w:val="20"/>
              </w:rPr>
            </w:pPr>
            <w:r w:rsidDel="00000000" w:rsidR="00000000" w:rsidRPr="00000000">
              <w:rPr>
                <w:sz w:val="20"/>
                <w:szCs w:val="20"/>
                <w:rtl w:val="0"/>
              </w:rPr>
              <w:t xml:space="preserve">Tiered usage; 2-3 different event types; sometimes have minimums</w:t>
              <w:br w:type="textWrapping"/>
            </w:r>
          </w:p>
          <w:p w:rsidR="00000000" w:rsidDel="00000000" w:rsidP="00000000" w:rsidRDefault="00000000" w:rsidRPr="00000000" w14:paraId="00000011">
            <w:pPr>
              <w:numPr>
                <w:ilvl w:val="0"/>
                <w:numId w:val="3"/>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2">
            <w:pPr>
              <w:numPr>
                <w:ilvl w:val="1"/>
                <w:numId w:val="3"/>
              </w:numPr>
              <w:ind w:left="1440" w:hanging="360"/>
              <w:rPr>
                <w:sz w:val="20"/>
                <w:szCs w:val="20"/>
              </w:rPr>
            </w:pPr>
            <w:r w:rsidDel="00000000" w:rsidR="00000000" w:rsidRPr="00000000">
              <w:rPr>
                <w:sz w:val="20"/>
                <w:szCs w:val="20"/>
                <w:rtl w:val="0"/>
              </w:rPr>
              <w:t xml:space="preserve">Really excited, went dark for a while but finally got them to re-engage</w:t>
            </w:r>
          </w:p>
          <w:p w:rsidR="00000000" w:rsidDel="00000000" w:rsidP="00000000" w:rsidRDefault="00000000" w:rsidRPr="00000000" w14:paraId="00000013">
            <w:pPr>
              <w:ind w:left="720" w:firstLine="0"/>
              <w:rPr>
                <w:sz w:val="20"/>
                <w:szCs w:val="20"/>
              </w:rPr>
            </w:pPr>
            <w:r w:rsidDel="00000000" w:rsidR="00000000" w:rsidRPr="00000000">
              <w:rPr>
                <w:sz w:val="20"/>
                <w:szCs w:val="20"/>
                <w:rtl w:val="0"/>
              </w:rPr>
              <w:t xml:space="preserve">2) Is there a key POC: (i.e.: who is the buyer/decision maker?)</w:t>
            </w:r>
          </w:p>
          <w:p w:rsidR="00000000" w:rsidDel="00000000" w:rsidP="00000000" w:rsidRDefault="00000000" w:rsidRPr="00000000" w14:paraId="00000014">
            <w:pPr>
              <w:numPr>
                <w:ilvl w:val="0"/>
                <w:numId w:val="11"/>
              </w:numPr>
              <w:ind w:left="1440" w:hanging="360"/>
              <w:rPr>
                <w:sz w:val="20"/>
                <w:szCs w:val="20"/>
                <w:u w:val="none"/>
              </w:rPr>
            </w:pPr>
            <w:r w:rsidDel="00000000" w:rsidR="00000000" w:rsidRPr="00000000">
              <w:rPr>
                <w:sz w:val="20"/>
                <w:szCs w:val="20"/>
                <w:rtl w:val="0"/>
              </w:rPr>
              <w:t xml:space="preserve">Aditi is the major decision maker. It seems like Mike was historically helping her with usage based billing, but he hasn’t been involved in the deal process since the demo</w:t>
            </w:r>
          </w:p>
          <w:p w:rsidR="00000000" w:rsidDel="00000000" w:rsidP="00000000" w:rsidRDefault="00000000" w:rsidRPr="00000000" w14:paraId="00000015">
            <w:pPr>
              <w:ind w:left="720" w:firstLine="0"/>
              <w:rPr>
                <w:sz w:val="20"/>
                <w:szCs w:val="20"/>
              </w:rPr>
            </w:pPr>
            <w:r w:rsidDel="00000000" w:rsidR="00000000" w:rsidRPr="00000000">
              <w:rPr>
                <w:sz w:val="20"/>
                <w:szCs w:val="20"/>
                <w:rtl w:val="0"/>
              </w:rPr>
              <w:t xml:space="preserve">3) What are the Tabs features that the key POC cares about?</w:t>
            </w:r>
          </w:p>
          <w:p w:rsidR="00000000" w:rsidDel="00000000" w:rsidP="00000000" w:rsidRDefault="00000000" w:rsidRPr="00000000" w14:paraId="00000016">
            <w:pPr>
              <w:numPr>
                <w:ilvl w:val="0"/>
                <w:numId w:val="8"/>
              </w:numPr>
              <w:ind w:left="1440" w:hanging="360"/>
              <w:rPr>
                <w:sz w:val="20"/>
                <w:szCs w:val="20"/>
                <w:u w:val="none"/>
              </w:rPr>
            </w:pPr>
            <w:r w:rsidDel="00000000" w:rsidR="00000000" w:rsidRPr="00000000">
              <w:rPr>
                <w:sz w:val="20"/>
                <w:szCs w:val="20"/>
                <w:rtl w:val="0"/>
              </w:rPr>
              <w:t xml:space="preserve">Usage ingest (will want to set up the report scheduled to send from Looker)</w:t>
            </w:r>
          </w:p>
          <w:p w:rsidR="00000000" w:rsidDel="00000000" w:rsidP="00000000" w:rsidRDefault="00000000" w:rsidRPr="00000000" w14:paraId="00000017">
            <w:pPr>
              <w:numPr>
                <w:ilvl w:val="0"/>
                <w:numId w:val="8"/>
              </w:numPr>
              <w:ind w:left="1440" w:hanging="360"/>
              <w:rPr>
                <w:sz w:val="20"/>
                <w:szCs w:val="20"/>
                <w:u w:val="none"/>
              </w:rPr>
            </w:pPr>
            <w:r w:rsidDel="00000000" w:rsidR="00000000" w:rsidRPr="00000000">
              <w:rPr>
                <w:sz w:val="20"/>
                <w:szCs w:val="20"/>
                <w:rtl w:val="0"/>
              </w:rPr>
              <w:t xml:space="preserve">Invoice calculation and sending</w:t>
            </w:r>
          </w:p>
          <w:p w:rsidR="00000000" w:rsidDel="00000000" w:rsidP="00000000" w:rsidRDefault="00000000" w:rsidRPr="00000000" w14:paraId="00000018">
            <w:pPr>
              <w:numPr>
                <w:ilvl w:val="0"/>
                <w:numId w:val="8"/>
              </w:numPr>
              <w:ind w:left="1440" w:hanging="360"/>
              <w:rPr>
                <w:sz w:val="20"/>
                <w:szCs w:val="20"/>
                <w:u w:val="none"/>
              </w:rPr>
            </w:pPr>
            <w:r w:rsidDel="00000000" w:rsidR="00000000" w:rsidRPr="00000000">
              <w:rPr>
                <w:sz w:val="20"/>
                <w:szCs w:val="20"/>
                <w:rtl w:val="0"/>
              </w:rPr>
              <w:t xml:space="preserve">Reporting</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Capitalize h</w:t>
      </w:r>
      <w:r w:rsidDel="00000000" w:rsidR="00000000" w:rsidRPr="00000000">
        <w:rPr>
          <w:sz w:val="20"/>
          <w:szCs w:val="20"/>
          <w:rtl w:val="0"/>
        </w:rPr>
        <w:t xml:space="preserve">elps individuals take control of their retirement savings by simplifying the process of rolling over old 401(k) accounts into individual retirement accounts (IRAs). The platform is designed to minimize the complexity and paperwork typically associated with this process.</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Automate calculations of usage based invoices</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Ingest all contracts and manage all the unique rates, minimums, etc.</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 Six month opt out; largely because the custom demo we did was only 2 contracts with no real usage data, and they just want to make sure we have a good way to support their usage needs</w:t>
      </w:r>
      <w:r w:rsidDel="00000000" w:rsidR="00000000" w:rsidRPr="00000000">
        <w:rPr>
          <w:rtl w:val="0"/>
        </w:rPr>
      </w:r>
    </w:p>
    <w:p w:rsidR="00000000" w:rsidDel="00000000" w:rsidP="00000000" w:rsidRDefault="00000000" w:rsidRPr="00000000" w14:paraId="00000025">
      <w:pPr>
        <w:pStyle w:val="Heading3"/>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6">
      <w:pPr>
        <w:ind w:left="720" w:firstLine="0"/>
        <w:rPr>
          <w:sz w:val="20"/>
          <w:szCs w:val="20"/>
          <w:highlight w:val="yellow"/>
        </w:rPr>
      </w:pPr>
      <w:r w:rsidDel="00000000" w:rsidR="00000000" w:rsidRPr="00000000">
        <w:rPr>
          <w:sz w:val="20"/>
          <w:szCs w:val="20"/>
          <w:highlight w:val="yellow"/>
        </w:rPr>
        <w:drawing>
          <wp:inline distB="114300" distT="114300" distL="114300" distR="114300">
            <wp:extent cx="5943600" cy="2159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8">
      <w:pPr>
        <w:numPr>
          <w:ilvl w:val="0"/>
          <w:numId w:val="7"/>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29">
      <w:pPr>
        <w:ind w:left="0" w:firstLine="0"/>
        <w:rPr>
          <w:b w:val="1"/>
          <w:sz w:val="20"/>
          <w:szCs w:val="20"/>
        </w:rPr>
      </w:pPr>
      <w:r w:rsidDel="00000000" w:rsidR="00000000" w:rsidRPr="00000000">
        <w:rPr>
          <w:b w:val="1"/>
          <w:sz w:val="20"/>
          <w:szCs w:val="20"/>
          <w:rtl w:val="0"/>
        </w:rPr>
        <w:t xml:space="preserve">View the screenshot of sheet below, Capitalize is usage only. They will send a monthly Looker report, there are some slight adjustments that Tabs needs to do to configure to our settings. Adjustments required are listed in Green. </w:t>
      </w:r>
      <w:hyperlink r:id="rId7">
        <w:r w:rsidDel="00000000" w:rsidR="00000000" w:rsidRPr="00000000">
          <w:rPr>
            <w:b w:val="1"/>
            <w:color w:val="0000ee"/>
            <w:sz w:val="20"/>
            <w:szCs w:val="20"/>
            <w:u w:val="single"/>
            <w:rtl w:val="0"/>
          </w:rPr>
          <w:t xml:space="preserve">Capitalize Looker Usage Report Ingest Example</w:t>
        </w:r>
      </w:hyperlink>
      <w:r w:rsidDel="00000000" w:rsidR="00000000" w:rsidRPr="00000000">
        <w:rPr>
          <w:rtl w:val="0"/>
        </w:rPr>
      </w:r>
    </w:p>
    <w:p w:rsidR="00000000" w:rsidDel="00000000" w:rsidP="00000000" w:rsidRDefault="00000000" w:rsidRPr="00000000" w14:paraId="0000002A">
      <w:pPr>
        <w:ind w:left="0" w:firstLine="0"/>
        <w:rPr>
          <w:b w:val="1"/>
          <w:sz w:val="20"/>
          <w:szCs w:val="20"/>
        </w:rPr>
      </w:pPr>
      <w:r w:rsidDel="00000000" w:rsidR="00000000" w:rsidRPr="00000000">
        <w:rPr>
          <w:b w:val="1"/>
          <w:sz w:val="20"/>
          <w:szCs w:val="20"/>
          <w:rtl w:val="0"/>
        </w:rPr>
        <w:t xml:space="preserve">They have very few customers so no contracts tend to come through</w:t>
      </w:r>
    </w:p>
    <w:p w:rsidR="00000000" w:rsidDel="00000000" w:rsidP="00000000" w:rsidRDefault="00000000" w:rsidRPr="00000000" w14:paraId="0000002B">
      <w:pPr>
        <w:rPr>
          <w:sz w:val="20"/>
          <w:szCs w:val="20"/>
          <w:highlight w:val="yellow"/>
        </w:rPr>
      </w:pPr>
      <w:r w:rsidDel="00000000" w:rsidR="00000000" w:rsidRPr="00000000">
        <w:rPr>
          <w:sz w:val="20"/>
          <w:szCs w:val="20"/>
          <w:highlight w:val="yellow"/>
        </w:rPr>
        <w:drawing>
          <wp:inline distB="114300" distT="114300" distL="114300" distR="114300">
            <wp:extent cx="5943600" cy="43942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D">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E">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F">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0">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1">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2">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3">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4">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5">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6">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7">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8">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9">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A">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B">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C">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D">
      <w:pPr>
        <w:ind w:left="720" w:firstLine="0"/>
        <w:rPr>
          <w:sz w:val="20"/>
          <w:szCs w:val="20"/>
        </w:rPr>
      </w:pPr>
      <w:r w:rsidDel="00000000" w:rsidR="00000000" w:rsidRPr="00000000">
        <w:rPr>
          <w:rtl w:val="0"/>
        </w:rPr>
      </w:r>
    </w:p>
    <w:p w:rsidR="00000000" w:rsidDel="00000000" w:rsidP="00000000" w:rsidRDefault="00000000" w:rsidRPr="00000000" w14:paraId="0000003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0">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1">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2">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3">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4">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5">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6">
      <w:pPr>
        <w:ind w:left="720" w:firstLine="0"/>
        <w:rPr>
          <w:sz w:val="20"/>
          <w:szCs w:val="20"/>
          <w:highlight w:val="yellow"/>
        </w:rPr>
      </w:pPr>
      <w:r w:rsidDel="00000000" w:rsidR="00000000" w:rsidRPr="00000000">
        <w:rPr>
          <w:rtl w:val="0"/>
        </w:rPr>
      </w:r>
    </w:p>
    <w:p w:rsidR="00000000" w:rsidDel="00000000" w:rsidP="00000000" w:rsidRDefault="00000000" w:rsidRPr="00000000" w14:paraId="00000047">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8">
      <w:pPr>
        <w:numPr>
          <w:ilvl w:val="0"/>
          <w:numId w:val="10"/>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9">
      <w:pPr>
        <w:numPr>
          <w:ilvl w:val="1"/>
          <w:numId w:val="10"/>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A">
      <w:pPr>
        <w:numPr>
          <w:ilvl w:val="1"/>
          <w:numId w:val="10"/>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B">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4C">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D">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E">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F">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0">
      <w:pPr>
        <w:ind w:left="0" w:firstLine="0"/>
        <w:rPr>
          <w:sz w:val="20"/>
          <w:szCs w:val="20"/>
        </w:rPr>
      </w:pPr>
      <w:r w:rsidDel="00000000" w:rsidR="00000000" w:rsidRPr="00000000">
        <w:rPr>
          <w:rtl w:val="0"/>
        </w:rPr>
      </w:r>
    </w:p>
    <w:p w:rsidR="00000000" w:rsidDel="00000000" w:rsidP="00000000" w:rsidRDefault="00000000" w:rsidRPr="00000000" w14:paraId="00000051">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2">
      <w:pPr>
        <w:rPr>
          <w:rFonts w:ascii="Arial" w:cs="Arial" w:eastAsia="Arial" w:hAnsi="Arial"/>
          <w:color w:val="1155cc"/>
          <w:sz w:val="23"/>
          <w:szCs w:val="23"/>
          <w:shd w:fill="f8f8f8" w:val="clear"/>
        </w:rPr>
      </w:pPr>
      <w:r w:rsidDel="00000000" w:rsidR="00000000" w:rsidRPr="00000000">
        <w:rPr>
          <w:rtl w:val="0"/>
        </w:rPr>
        <w:t xml:space="preserve">​​</w:t>
      </w:r>
      <w:hyperlink r:id="rId9">
        <w:r w:rsidDel="00000000" w:rsidR="00000000" w:rsidRPr="00000000">
          <w:rPr>
            <w:rFonts w:ascii="Arial" w:cs="Arial" w:eastAsia="Arial" w:hAnsi="Arial"/>
            <w:color w:val="1155cc"/>
            <w:sz w:val="23"/>
            <w:szCs w:val="23"/>
            <w:u w:val="single"/>
            <w:shd w:fill="f8f8f8" w:val="clear"/>
            <w:rtl w:val="0"/>
          </w:rPr>
          <w:t xml:space="preserve">Call 1</w:t>
        </w:r>
      </w:hyperlink>
      <w:r w:rsidDel="00000000" w:rsidR="00000000" w:rsidRPr="00000000">
        <w:rPr>
          <w:rtl w:val="0"/>
        </w:rPr>
      </w:r>
    </w:p>
    <w:p w:rsidR="00000000" w:rsidDel="00000000" w:rsidP="00000000" w:rsidRDefault="00000000" w:rsidRPr="00000000" w14:paraId="00000053">
      <w:pPr>
        <w:rPr>
          <w:rFonts w:ascii="Arial" w:cs="Arial" w:eastAsia="Arial" w:hAnsi="Arial"/>
          <w:color w:val="1155cc"/>
          <w:sz w:val="23"/>
          <w:szCs w:val="23"/>
          <w:shd w:fill="f8f8f8" w:val="clear"/>
        </w:rPr>
      </w:pPr>
      <w:hyperlink r:id="rId10">
        <w:r w:rsidDel="00000000" w:rsidR="00000000" w:rsidRPr="00000000">
          <w:rPr>
            <w:rFonts w:ascii="Arial" w:cs="Arial" w:eastAsia="Arial" w:hAnsi="Arial"/>
            <w:color w:val="1155cc"/>
            <w:sz w:val="23"/>
            <w:szCs w:val="23"/>
            <w:u w:val="single"/>
            <w:shd w:fill="f8f8f8" w:val="clear"/>
            <w:rtl w:val="0"/>
          </w:rPr>
          <w:t xml:space="preserve">Call 2</w:t>
        </w:r>
      </w:hyperlink>
      <w:r w:rsidDel="00000000" w:rsidR="00000000" w:rsidRPr="00000000">
        <w:rPr>
          <w:rtl w:val="0"/>
        </w:rPr>
      </w:r>
    </w:p>
    <w:p w:rsidR="00000000" w:rsidDel="00000000" w:rsidP="00000000" w:rsidRDefault="00000000" w:rsidRPr="00000000" w14:paraId="00000054">
      <w:pPr>
        <w:rPr/>
      </w:pPr>
      <w:hyperlink r:id="rId11">
        <w:r w:rsidDel="00000000" w:rsidR="00000000" w:rsidRPr="00000000">
          <w:rPr>
            <w:rFonts w:ascii="Arial" w:cs="Arial" w:eastAsia="Arial" w:hAnsi="Arial"/>
            <w:color w:val="1155cc"/>
            <w:sz w:val="23"/>
            <w:szCs w:val="23"/>
            <w:u w:val="single"/>
            <w:shd w:fill="f8f8f8" w:val="clear"/>
            <w:rtl w:val="0"/>
          </w:rPr>
          <w:t xml:space="preserve">Custom Demo</w:t>
        </w:r>
      </w:hyperlink>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ax8a8d8mgkysk00u-capitalize-tabs-custom-demo-path-forward-september-11-2024" TargetMode="External"/><Relationship Id="rId10" Type="http://schemas.openxmlformats.org/officeDocument/2006/relationships/hyperlink" Target="https://tabs.rewatch.com/video/sxuenju4r738t0ol-capitalize-tabs-custom-demo-september-5-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xp6xzk21kzg2tkrh-tabs-intro-august-20-202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spreadsheets/d/1eMIoh2ZZS1mW4xYq_LRhETKvn8z7BbxVIeIiMKiSiNg/edit?usp=sharin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