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6,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346246106"/>
          <w:dropDownList w:lastValue="Rebecca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473821"/>
              <w:sz w:val="20"/>
              <w:szCs w:val="20"/>
              <w:shd w:fill="ffe5a0" w:val="clear"/>
            </w:rPr>
            <w:t xml:space="preserve">Rebecca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199318520"/>
          <w:dropDownList w:lastValue="Royce">
            <w:listItem w:displayText="Royce" w:value="Royce"/>
            <w:listItem w:displayText="Ariel" w:value="Ariel"/>
            <w:listItem w:displayText="Arjun" w:value="Arjun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005977431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280818333"/>
          <w:dropDownList w:lastValue="QBO Hard Coded Taxes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AE/ Implementation Notes Sections  [Ops International Team to Ignore]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Spreadsheets related to implementation</w:t>
              <w:br w:type="textWrapping"/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  <w:br w:type="textWrapping"/>
              <w:t xml:space="preserve">2) Is there a key POC: (i.e.: who is the buyer/decision maker?)</w:t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</w:r>
    </w:p>
    <w:p w:rsidR="00000000" w:rsidDel="00000000" w:rsidP="00000000" w:rsidRDefault="00000000" w:rsidRPr="00000000" w14:paraId="0000001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?</w:t>
        <w:br w:type="textWrapping"/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5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36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A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3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0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1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2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6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7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8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4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