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Sep 13th, 2024</w:t>
        <w:br w:type="textWrapping"/>
        <w:t xml:space="preserve">Scoping start date: </w:t>
      </w:r>
      <w:r w:rsidDel="00000000" w:rsidR="00000000" w:rsidRPr="00000000">
        <w:rPr>
          <w:sz w:val="20"/>
          <w:szCs w:val="20"/>
          <w:rtl w:val="0"/>
        </w:rPr>
        <w:t xml:space="preserve">Sep 13,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24,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r w:rsidDel="00000000" w:rsidR="00000000" w:rsidRPr="00000000">
        <w:rPr>
          <w:sz w:val="20"/>
          <w:szCs w:val="20"/>
          <w:rtl w:val="0"/>
        </w:rPr>
        <w:t xml:space="preserve">Dec 9,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312293259"/>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2044687744"/>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666884231"/>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899237851"/>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Controller: Derrick Rankin</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nztag79rwfwr" w:id="3"/>
      <w:bookmarkEnd w:id="3"/>
      <w:r w:rsidDel="00000000" w:rsidR="00000000" w:rsidRPr="00000000">
        <w:rPr>
          <w:rFonts w:ascii="Inter" w:cs="Inter" w:eastAsia="Inter" w:hAnsi="Inter"/>
          <w:sz w:val="20"/>
          <w:szCs w:val="20"/>
          <w:rtl w:val="0"/>
        </w:rPr>
        <w:t xml:space="preserve">Head of FP&amp;A: David Leite </w:t>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Tosin Adesegha</w:t>
      </w:r>
    </w:p>
    <w:p w:rsidR="00000000" w:rsidDel="00000000" w:rsidP="00000000" w:rsidRDefault="00000000" w:rsidRPr="00000000" w14:paraId="0000000F">
      <w:pPr>
        <w:numPr>
          <w:ilvl w:val="0"/>
          <w:numId w:val="5"/>
        </w:numPr>
        <w:ind w:left="720" w:hanging="360"/>
        <w:rPr>
          <w:sz w:val="20"/>
          <w:szCs w:val="20"/>
        </w:rPr>
      </w:pPr>
      <w:r w:rsidDel="00000000" w:rsidR="00000000" w:rsidRPr="00000000">
        <w:rPr>
          <w:sz w:val="20"/>
          <w:szCs w:val="20"/>
          <w:rtl w:val="0"/>
        </w:rPr>
        <w:t xml:space="preserve">Account Receivable POC: David</w:t>
      </w:r>
    </w:p>
    <w:p w:rsidR="00000000" w:rsidDel="00000000" w:rsidP="00000000" w:rsidRDefault="00000000" w:rsidRPr="00000000" w14:paraId="00000010">
      <w:pPr>
        <w:numPr>
          <w:ilvl w:val="0"/>
          <w:numId w:val="5"/>
        </w:numPr>
        <w:ind w:left="720" w:hanging="360"/>
        <w:rPr>
          <w:sz w:val="20"/>
          <w:szCs w:val="20"/>
        </w:rPr>
      </w:pPr>
      <w:r w:rsidDel="00000000" w:rsidR="00000000" w:rsidRPr="00000000">
        <w:rPr>
          <w:sz w:val="20"/>
          <w:szCs w:val="20"/>
          <w:rtl w:val="0"/>
        </w:rPr>
        <w:t xml:space="preserve">Billing POC: Derrick</w:t>
      </w:r>
      <w:r w:rsidDel="00000000" w:rsidR="00000000" w:rsidRPr="00000000">
        <w:rPr>
          <w:rtl w:val="0"/>
        </w:rPr>
      </w:r>
    </w:p>
    <w:p w:rsidR="00000000" w:rsidDel="00000000" w:rsidP="00000000" w:rsidRDefault="00000000" w:rsidRPr="00000000" w14:paraId="00000011">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5">
            <w:pPr>
              <w:numPr>
                <w:ilvl w:val="1"/>
                <w:numId w:val="2"/>
              </w:numPr>
              <w:ind w:left="1440" w:hanging="360"/>
              <w:rPr>
                <w:sz w:val="20"/>
                <w:szCs w:val="20"/>
              </w:rPr>
            </w:pPr>
            <w:r w:rsidDel="00000000" w:rsidR="00000000" w:rsidRPr="00000000">
              <w:rPr>
                <w:sz w:val="20"/>
                <w:szCs w:val="20"/>
                <w:rtl w:val="0"/>
              </w:rPr>
              <w:t xml:space="preserve">Spreadsheets related to usage data pulled on a monthly basis</w:t>
            </w:r>
          </w:p>
          <w:p w:rsidR="00000000" w:rsidDel="00000000" w:rsidP="00000000" w:rsidRDefault="00000000" w:rsidRPr="00000000" w14:paraId="00000016">
            <w:pPr>
              <w:numPr>
                <w:ilvl w:val="1"/>
                <w:numId w:val="2"/>
              </w:numPr>
              <w:ind w:left="1440" w:hanging="360"/>
              <w:rPr>
                <w:sz w:val="20"/>
                <w:szCs w:val="20"/>
              </w:rPr>
            </w:pPr>
            <w:r w:rsidDel="00000000" w:rsidR="00000000" w:rsidRPr="00000000">
              <w:rPr>
                <w:sz w:val="20"/>
                <w:szCs w:val="20"/>
                <w:rtl w:val="0"/>
              </w:rPr>
              <w:t xml:space="preserve">Master Excel with all client data</w:t>
            </w:r>
          </w:p>
          <w:p w:rsidR="00000000" w:rsidDel="00000000" w:rsidP="00000000" w:rsidRDefault="00000000" w:rsidRPr="00000000" w14:paraId="00000017">
            <w:pPr>
              <w:numPr>
                <w:ilvl w:val="1"/>
                <w:numId w:val="2"/>
              </w:numPr>
              <w:ind w:left="1440" w:hanging="360"/>
              <w:rPr>
                <w:sz w:val="20"/>
                <w:szCs w:val="20"/>
              </w:rPr>
            </w:pPr>
            <w:r w:rsidDel="00000000" w:rsidR="00000000" w:rsidRPr="00000000">
              <w:rPr>
                <w:sz w:val="20"/>
                <w:szCs w:val="20"/>
                <w:rtl w:val="0"/>
              </w:rPr>
              <w:t xml:space="preserve">Number of prescribers broken out in Excel per prescriber</w:t>
            </w:r>
          </w:p>
          <w:p w:rsidR="00000000" w:rsidDel="00000000" w:rsidP="00000000" w:rsidRDefault="00000000" w:rsidRPr="00000000" w14:paraId="00000018">
            <w:pPr>
              <w:numPr>
                <w:ilvl w:val="1"/>
                <w:numId w:val="2"/>
              </w:numPr>
              <w:ind w:left="1440" w:hanging="360"/>
              <w:rPr>
                <w:sz w:val="20"/>
                <w:szCs w:val="20"/>
                <w:u w:val="none"/>
              </w:rPr>
            </w:pPr>
            <w:r w:rsidDel="00000000" w:rsidR="00000000" w:rsidRPr="00000000">
              <w:rPr>
                <w:sz w:val="20"/>
                <w:szCs w:val="20"/>
                <w:rtl w:val="0"/>
              </w:rPr>
              <w:t xml:space="preserve">Tiered unit pricing</w:t>
            </w:r>
          </w:p>
          <w:p w:rsidR="00000000" w:rsidDel="00000000" w:rsidP="00000000" w:rsidRDefault="00000000" w:rsidRPr="00000000" w14:paraId="00000019">
            <w:pPr>
              <w:numPr>
                <w:ilvl w:val="1"/>
                <w:numId w:val="2"/>
              </w:numPr>
              <w:ind w:left="1440" w:hanging="360"/>
              <w:rPr>
                <w:sz w:val="20"/>
                <w:szCs w:val="20"/>
              </w:rPr>
            </w:pPr>
            <w:r w:rsidDel="00000000" w:rsidR="00000000" w:rsidRPr="00000000">
              <w:rPr>
                <w:b w:val="1"/>
                <w:rtl w:val="0"/>
              </w:rPr>
              <w:t xml:space="preserve">Receipts of usage data attached to each invoice then sent</w:t>
            </w:r>
            <w:r w:rsidDel="00000000" w:rsidR="00000000" w:rsidRPr="00000000">
              <w:rPr>
                <w:rtl w:val="0"/>
              </w:rPr>
              <w:br w:type="textWrapping"/>
            </w:r>
          </w:p>
          <w:p w:rsidR="00000000" w:rsidDel="00000000" w:rsidP="00000000" w:rsidRDefault="00000000" w:rsidRPr="00000000" w14:paraId="0000001A">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Very calm and open to figuring out solutions together. Technical stakeholders - moved forward because they wanted to work with our team to get rid of their billing headaches</w:t>
              <w:br w:type="textWrapping"/>
              <w:br w:type="textWrapping"/>
              <w:t xml:space="preserve">2) Is there a key POC: (i.e.: who is the buyer/decision maker?)</w:t>
            </w:r>
          </w:p>
          <w:p w:rsidR="00000000" w:rsidDel="00000000" w:rsidP="00000000" w:rsidRDefault="00000000" w:rsidRPr="00000000" w14:paraId="0000001C">
            <w:pPr>
              <w:ind w:left="720" w:firstLine="0"/>
              <w:rPr>
                <w:sz w:val="20"/>
                <w:szCs w:val="20"/>
              </w:rPr>
            </w:pPr>
            <w:r w:rsidDel="00000000" w:rsidR="00000000" w:rsidRPr="00000000">
              <w:rPr>
                <w:sz w:val="20"/>
                <w:szCs w:val="20"/>
                <w:rtl w:val="0"/>
              </w:rPr>
              <w:t xml:space="preserve">Derrick and David are main stakeholders. Rebecca knows CFO, Tosin, personally.</w:t>
              <w:br w:type="textWrapping"/>
              <w:br w:type="textWrapping"/>
              <w:t xml:space="preserve">3) What are the Tabs features that the key POC cares about?</w:t>
            </w:r>
          </w:p>
          <w:p w:rsidR="00000000" w:rsidDel="00000000" w:rsidP="00000000" w:rsidRDefault="00000000" w:rsidRPr="00000000" w14:paraId="0000001D">
            <w:pPr>
              <w:ind w:left="720" w:firstLine="0"/>
              <w:rPr>
                <w:sz w:val="20"/>
                <w:szCs w:val="20"/>
              </w:rPr>
            </w:pPr>
            <w:r w:rsidDel="00000000" w:rsidR="00000000" w:rsidRPr="00000000">
              <w:rPr>
                <w:sz w:val="20"/>
                <w:szCs w:val="20"/>
                <w:rtl w:val="0"/>
              </w:rPr>
              <w:t xml:space="preserve">Invoicing, usage upload, receipt attachment, reporting, rev rec</w:t>
            </w: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DoseSpot is a Surescripts certified e-Prescribing platform specifically designed to integrate with electronic health record, electronic dental record, practice management and telehealth software. DoseSpot is certified to e-Prescribe controlled substances and has provided simple, affordable and integratable e-Prescribing solutions to healthcare IT companies since 2009</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b w:val="1"/>
          <w:sz w:val="20"/>
          <w:szCs w:val="20"/>
          <w:rtl w:val="0"/>
        </w:rPr>
        <w:t xml:space="preserve">What is the merchant's goal? What pain are we solving? Why are they buying Tabs</w:t>
      </w:r>
      <w:r w:rsidDel="00000000" w:rsidR="00000000" w:rsidRPr="00000000">
        <w:rPr>
          <w:b w:val="1"/>
          <w:sz w:val="20"/>
          <w:szCs w:val="20"/>
          <w:rtl w:val="0"/>
        </w:rPr>
        <w:t xml:space="preserve">?</w:t>
        <w:br w:type="textWrapping"/>
      </w:r>
      <w:r w:rsidDel="00000000" w:rsidR="00000000" w:rsidRPr="00000000">
        <w:rPr>
          <w:sz w:val="20"/>
          <w:szCs w:val="20"/>
          <w:rtl w:val="0"/>
        </w:rPr>
        <w:t xml:space="preserve">Usage data upload. Contract management. Attachment of receipts to invoices. Customized Rev Rec reporting</w:t>
      </w:r>
    </w:p>
    <w:p w:rsidR="00000000" w:rsidDel="00000000" w:rsidP="00000000" w:rsidRDefault="00000000" w:rsidRPr="00000000" w14:paraId="00000024">
      <w:pPr>
        <w:rPr>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Is there an opt out clause? If so, what is the merchant looking for so they do not exercise it?</w:t>
      </w:r>
      <w:r w:rsidDel="00000000" w:rsidR="00000000" w:rsidRPr="00000000">
        <w:rPr>
          <w:b w:val="1"/>
          <w:sz w:val="20"/>
          <w:szCs w:val="20"/>
          <w:highlight w:val="yellow"/>
          <w:rtl w:val="0"/>
        </w:rPr>
        <w:br w:type="textWrapping"/>
      </w:r>
      <w:r w:rsidDel="00000000" w:rsidR="00000000" w:rsidRPr="00000000">
        <w:rPr>
          <w:sz w:val="20"/>
          <w:szCs w:val="20"/>
          <w:rtl w:val="0"/>
        </w:rPr>
        <w:t xml:space="preserve">Nope</w:t>
      </w: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8">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9">
      <w:pPr>
        <w:numPr>
          <w:ilvl w:val="1"/>
          <w:numId w:val="1"/>
        </w:numPr>
        <w:ind w:left="1440" w:hanging="360"/>
        <w:rPr>
          <w:sz w:val="20"/>
          <w:szCs w:val="20"/>
          <w:u w:val="none"/>
        </w:rPr>
      </w:pPr>
      <w:r w:rsidDel="00000000" w:rsidR="00000000" w:rsidRPr="00000000">
        <w:rPr>
          <w:sz w:val="20"/>
          <w:szCs w:val="20"/>
          <w:rtl w:val="0"/>
        </w:rPr>
        <w:t xml:space="preserve">Monthly with subscription fee in arrears and tiered usage pricing also in arrears</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B">
      <w:pPr>
        <w:numPr>
          <w:ilvl w:val="1"/>
          <w:numId w:val="1"/>
        </w:numPr>
        <w:ind w:left="1440" w:hanging="360"/>
        <w:rPr>
          <w:sz w:val="20"/>
          <w:szCs w:val="20"/>
          <w:u w:val="none"/>
        </w:rPr>
      </w:pPr>
      <w:r w:rsidDel="00000000" w:rsidR="00000000" w:rsidRPr="00000000">
        <w:rPr>
          <w:sz w:val="20"/>
          <w:szCs w:val="20"/>
          <w:rtl w:val="0"/>
        </w:rPr>
        <w:t xml:space="preserve">Look at Exhibit A of the MSA for pricing. Specifically, looking for pricing related to:</w:t>
      </w:r>
    </w:p>
    <w:p w:rsidR="00000000" w:rsidDel="00000000" w:rsidP="00000000" w:rsidRDefault="00000000" w:rsidRPr="00000000" w14:paraId="0000002C">
      <w:pPr>
        <w:numPr>
          <w:ilvl w:val="2"/>
          <w:numId w:val="1"/>
        </w:numPr>
        <w:ind w:left="2160" w:hanging="360"/>
        <w:rPr>
          <w:sz w:val="20"/>
          <w:szCs w:val="20"/>
          <w:u w:val="none"/>
        </w:rPr>
      </w:pPr>
      <w:r w:rsidDel="00000000" w:rsidR="00000000" w:rsidRPr="00000000">
        <w:rPr>
          <w:sz w:val="20"/>
          <w:szCs w:val="20"/>
          <w:rtl w:val="0"/>
        </w:rPr>
        <w:t xml:space="preserve">Fixed monthly fee and any prescribers that are included in the cost</w:t>
      </w:r>
    </w:p>
    <w:p w:rsidR="00000000" w:rsidDel="00000000" w:rsidP="00000000" w:rsidRDefault="00000000" w:rsidRPr="00000000" w14:paraId="0000002D">
      <w:pPr>
        <w:numPr>
          <w:ilvl w:val="2"/>
          <w:numId w:val="1"/>
        </w:numPr>
        <w:ind w:left="2160" w:hanging="360"/>
        <w:rPr>
          <w:sz w:val="20"/>
          <w:szCs w:val="20"/>
          <w:u w:val="none"/>
        </w:rPr>
      </w:pPr>
      <w:r w:rsidDel="00000000" w:rsidR="00000000" w:rsidRPr="00000000">
        <w:rPr>
          <w:sz w:val="20"/>
          <w:szCs w:val="20"/>
          <w:rtl w:val="0"/>
        </w:rPr>
        <w:t xml:space="preserve">EPCS Prescribers</w:t>
      </w:r>
    </w:p>
    <w:p w:rsidR="00000000" w:rsidDel="00000000" w:rsidP="00000000" w:rsidRDefault="00000000" w:rsidRPr="00000000" w14:paraId="0000002E">
      <w:pPr>
        <w:numPr>
          <w:ilvl w:val="2"/>
          <w:numId w:val="1"/>
        </w:numPr>
        <w:ind w:left="2160" w:hanging="360"/>
        <w:rPr>
          <w:sz w:val="20"/>
          <w:szCs w:val="20"/>
          <w:u w:val="none"/>
        </w:rPr>
      </w:pPr>
      <w:r w:rsidDel="00000000" w:rsidR="00000000" w:rsidRPr="00000000">
        <w:rPr>
          <w:sz w:val="20"/>
          <w:szCs w:val="20"/>
          <w:rtl w:val="0"/>
        </w:rPr>
        <w:t xml:space="preserve">Non-EPCS Prescribers</w:t>
      </w:r>
    </w:p>
    <w:p w:rsidR="00000000" w:rsidDel="00000000" w:rsidP="00000000" w:rsidRDefault="00000000" w:rsidRPr="00000000" w14:paraId="0000002F">
      <w:pPr>
        <w:numPr>
          <w:ilvl w:val="2"/>
          <w:numId w:val="1"/>
        </w:numPr>
        <w:ind w:left="2160" w:hanging="360"/>
        <w:rPr>
          <w:sz w:val="20"/>
          <w:szCs w:val="20"/>
          <w:u w:val="none"/>
        </w:rPr>
      </w:pPr>
      <w:r w:rsidDel="00000000" w:rsidR="00000000" w:rsidRPr="00000000">
        <w:rPr>
          <w:sz w:val="20"/>
          <w:szCs w:val="20"/>
          <w:rtl w:val="0"/>
        </w:rPr>
        <w:t xml:space="preserve">Prescription Agents</w:t>
      </w:r>
    </w:p>
    <w:p w:rsidR="00000000" w:rsidDel="00000000" w:rsidP="00000000" w:rsidRDefault="00000000" w:rsidRPr="00000000" w14:paraId="00000030">
      <w:pPr>
        <w:numPr>
          <w:ilvl w:val="2"/>
          <w:numId w:val="1"/>
        </w:numPr>
        <w:ind w:left="2160" w:hanging="360"/>
        <w:rPr>
          <w:sz w:val="20"/>
          <w:szCs w:val="20"/>
          <w:u w:val="none"/>
        </w:rPr>
      </w:pPr>
      <w:r w:rsidDel="00000000" w:rsidR="00000000" w:rsidRPr="00000000">
        <w:rPr>
          <w:sz w:val="20"/>
          <w:szCs w:val="20"/>
          <w:rtl w:val="0"/>
        </w:rPr>
        <w:t xml:space="preserve">Prescriptions</w:t>
      </w:r>
    </w:p>
    <w:p w:rsidR="00000000" w:rsidDel="00000000" w:rsidP="00000000" w:rsidRDefault="00000000" w:rsidRPr="00000000" w14:paraId="00000031">
      <w:pPr>
        <w:numPr>
          <w:ilvl w:val="2"/>
          <w:numId w:val="1"/>
        </w:numPr>
        <w:ind w:left="2160" w:hanging="360"/>
        <w:rPr>
          <w:sz w:val="20"/>
          <w:szCs w:val="20"/>
          <w:u w:val="none"/>
        </w:rPr>
      </w:pPr>
      <w:r w:rsidDel="00000000" w:rsidR="00000000" w:rsidRPr="00000000">
        <w:rPr>
          <w:sz w:val="20"/>
          <w:szCs w:val="20"/>
          <w:rtl w:val="0"/>
        </w:rPr>
        <w:t xml:space="preserve">Identity Proofing</w:t>
      </w:r>
    </w:p>
    <w:p w:rsidR="00000000" w:rsidDel="00000000" w:rsidP="00000000" w:rsidRDefault="00000000" w:rsidRPr="00000000" w14:paraId="00000032">
      <w:pPr>
        <w:numPr>
          <w:ilvl w:val="1"/>
          <w:numId w:val="1"/>
        </w:numPr>
        <w:ind w:left="1440" w:hanging="360"/>
        <w:rPr>
          <w:sz w:val="20"/>
          <w:szCs w:val="20"/>
          <w:u w:val="none"/>
        </w:rPr>
      </w:pPr>
      <w:r w:rsidDel="00000000" w:rsidR="00000000" w:rsidRPr="00000000">
        <w:rPr>
          <w:sz w:val="20"/>
          <w:szCs w:val="20"/>
          <w:rtl w:val="0"/>
        </w:rPr>
        <w:t xml:space="preserve">Ignore data related to:</w:t>
      </w:r>
    </w:p>
    <w:p w:rsidR="00000000" w:rsidDel="00000000" w:rsidP="00000000" w:rsidRDefault="00000000" w:rsidRPr="00000000" w14:paraId="00000033">
      <w:pPr>
        <w:numPr>
          <w:ilvl w:val="2"/>
          <w:numId w:val="1"/>
        </w:numPr>
        <w:ind w:left="2160" w:hanging="360"/>
        <w:rPr>
          <w:sz w:val="20"/>
          <w:szCs w:val="20"/>
          <w:u w:val="none"/>
        </w:rPr>
      </w:pPr>
      <w:r w:rsidDel="00000000" w:rsidR="00000000" w:rsidRPr="00000000">
        <w:rPr>
          <w:sz w:val="20"/>
          <w:szCs w:val="20"/>
          <w:rtl w:val="0"/>
        </w:rPr>
        <w:t xml:space="preserve">EPCS Certification or Re-certification</w:t>
      </w:r>
    </w:p>
    <w:p w:rsidR="00000000" w:rsidDel="00000000" w:rsidP="00000000" w:rsidRDefault="00000000" w:rsidRPr="00000000" w14:paraId="00000034">
      <w:pPr>
        <w:numPr>
          <w:ilvl w:val="2"/>
          <w:numId w:val="1"/>
        </w:numPr>
        <w:ind w:left="2160" w:hanging="360"/>
        <w:rPr>
          <w:sz w:val="20"/>
          <w:szCs w:val="20"/>
          <w:u w:val="none"/>
        </w:rPr>
      </w:pPr>
      <w:r w:rsidDel="00000000" w:rsidR="00000000" w:rsidRPr="00000000">
        <w:rPr>
          <w:sz w:val="20"/>
          <w:szCs w:val="20"/>
          <w:rtl w:val="0"/>
        </w:rPr>
        <w:t xml:space="preserve">Hardware tokens</w:t>
      </w:r>
    </w:p>
    <w:p w:rsidR="00000000" w:rsidDel="00000000" w:rsidP="00000000" w:rsidRDefault="00000000" w:rsidRPr="00000000" w14:paraId="00000035">
      <w:pPr>
        <w:numPr>
          <w:ilvl w:val="0"/>
          <w:numId w:val="1"/>
        </w:numPr>
        <w:ind w:left="720" w:hanging="360"/>
        <w:rPr>
          <w:sz w:val="20"/>
          <w:szCs w:val="20"/>
        </w:rPr>
      </w:pPr>
      <w:r w:rsidDel="00000000" w:rsidR="00000000" w:rsidRPr="00000000">
        <w:rPr>
          <w:sz w:val="20"/>
          <w:szCs w:val="20"/>
          <w:rtl w:val="0"/>
        </w:rPr>
        <w:t xml:space="preserve">One-off things to know about the merchant</w:t>
      </w:r>
    </w:p>
    <w:p w:rsidR="00000000" w:rsidDel="00000000" w:rsidP="00000000" w:rsidRDefault="00000000" w:rsidRPr="00000000" w14:paraId="00000036">
      <w:pPr>
        <w:numPr>
          <w:ilvl w:val="1"/>
          <w:numId w:val="1"/>
        </w:numPr>
        <w:ind w:left="1440" w:hanging="360"/>
        <w:rPr>
          <w:sz w:val="20"/>
          <w:szCs w:val="20"/>
          <w:highlight w:val="yellow"/>
        </w:rPr>
      </w:pPr>
      <w:r w:rsidDel="00000000" w:rsidR="00000000" w:rsidRPr="00000000">
        <w:rPr>
          <w:sz w:val="20"/>
          <w:szCs w:val="20"/>
          <w:highlight w:val="yellow"/>
          <w:rtl w:val="0"/>
        </w:rPr>
        <w:t xml:space="preserve">There are often typos in the pricing tables. Regardless of what text is shown, the lower priced table is for Non-EPCS and the higher priced table is for EPCS.</w:t>
      </w:r>
      <w:r w:rsidDel="00000000" w:rsidR="00000000" w:rsidRPr="00000000">
        <w:rPr>
          <w:rtl w:val="0"/>
        </w:rPr>
      </w:r>
    </w:p>
    <w:p w:rsidR="00000000" w:rsidDel="00000000" w:rsidP="00000000" w:rsidRDefault="00000000" w:rsidRPr="00000000" w14:paraId="0000003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w:t>
        <w:br w:type="textWrapping"/>
        <w:t xml:space="preserve">Sample IDs of accurately processed contracts: (</w:t>
      </w:r>
      <w:hyperlink r:id="rId6">
        <w:r w:rsidDel="00000000" w:rsidR="00000000" w:rsidRPr="00000000">
          <w:rPr>
            <w:i w:val="1"/>
            <w:color w:val="1155cc"/>
            <w:sz w:val="16"/>
            <w:szCs w:val="16"/>
            <w:u w:val="single"/>
            <w:rtl w:val="0"/>
          </w:rPr>
          <w:t xml:space="preserve">here</w:t>
        </w:r>
      </w:hyperlink>
      <w:r w:rsidDel="00000000" w:rsidR="00000000" w:rsidRPr="00000000">
        <w:rPr>
          <w:i w:val="1"/>
          <w:color w:val="666666"/>
          <w:sz w:val="16"/>
          <w:szCs w:val="16"/>
          <w:rtl w:val="0"/>
        </w:rPr>
        <w:t xml:space="preserve">)</w:t>
      </w:r>
      <w:r w:rsidDel="00000000" w:rsidR="00000000" w:rsidRPr="00000000">
        <w:rPr>
          <w:i w:val="1"/>
          <w:color w:val="666666"/>
          <w:sz w:val="16"/>
          <w:szCs w:val="16"/>
          <w:rtl w:val="0"/>
        </w:rPr>
        <w:t xml:space="preserve">   </w:t>
      </w:r>
      <w:r w:rsidDel="00000000" w:rsidR="00000000" w:rsidRPr="00000000">
        <w:rPr>
          <w:rtl w:val="0"/>
        </w:rPr>
      </w:r>
    </w:p>
    <w:p w:rsidR="00000000" w:rsidDel="00000000" w:rsidP="00000000" w:rsidRDefault="00000000" w:rsidRPr="00000000" w14:paraId="00000038">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39">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Assign the contract to a customer</w:t>
      </w:r>
    </w:p>
    <w:p w:rsidR="00000000" w:rsidDel="00000000" w:rsidP="00000000" w:rsidRDefault="00000000" w:rsidRPr="00000000" w14:paraId="0000003A">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Look in Exhibit A for pricing. Any fixed monthly fee is the subscription fee and is billed </w:t>
      </w:r>
      <w:r w:rsidDel="00000000" w:rsidR="00000000" w:rsidRPr="00000000">
        <w:rPr>
          <w:b w:val="1"/>
          <w:sz w:val="20"/>
          <w:szCs w:val="20"/>
          <w:highlight w:val="yellow"/>
          <w:rtl w:val="0"/>
        </w:rPr>
        <w:t xml:space="preserve">MONTHLY IN ARREARS</w:t>
      </w:r>
      <w:r w:rsidDel="00000000" w:rsidR="00000000" w:rsidRPr="00000000">
        <w:rPr>
          <w:sz w:val="20"/>
          <w:szCs w:val="20"/>
          <w:highlight w:val="yellow"/>
          <w:rtl w:val="0"/>
        </w:rPr>
        <w:t xml:space="preserve">.</w:t>
      </w:r>
    </w:p>
    <w:p w:rsidR="00000000" w:rsidDel="00000000" w:rsidP="00000000" w:rsidRDefault="00000000" w:rsidRPr="00000000" w14:paraId="0000003B">
      <w:pPr>
        <w:numPr>
          <w:ilvl w:val="1"/>
          <w:numId w:val="6"/>
        </w:numPr>
        <w:ind w:left="1440" w:hanging="360"/>
        <w:rPr>
          <w:strike w:val="1"/>
          <w:sz w:val="20"/>
          <w:szCs w:val="20"/>
          <w:highlight w:val="yellow"/>
        </w:rPr>
      </w:pPr>
      <w:r w:rsidDel="00000000" w:rsidR="00000000" w:rsidRPr="00000000">
        <w:rPr>
          <w:strike w:val="1"/>
          <w:sz w:val="20"/>
          <w:szCs w:val="20"/>
          <w:highlight w:val="yellow"/>
          <w:rtl w:val="0"/>
        </w:rPr>
        <w:t xml:space="preserve">Monthly fee often includes 10 free prescribers. If so, adjust the contracted tiers of prescribers to be 10 higher than the contract states. For example:</w:t>
      </w:r>
    </w:p>
    <w:p w:rsidR="00000000" w:rsidDel="00000000" w:rsidP="00000000" w:rsidRDefault="00000000" w:rsidRPr="00000000" w14:paraId="0000003C">
      <w:pPr>
        <w:numPr>
          <w:ilvl w:val="2"/>
          <w:numId w:val="6"/>
        </w:numPr>
        <w:ind w:left="2160" w:hanging="360"/>
        <w:rPr>
          <w:strike w:val="1"/>
          <w:sz w:val="20"/>
          <w:szCs w:val="20"/>
          <w:highlight w:val="yellow"/>
        </w:rPr>
      </w:pPr>
      <w:r w:rsidDel="00000000" w:rsidR="00000000" w:rsidRPr="00000000">
        <w:rPr>
          <w:strike w:val="1"/>
          <w:sz w:val="20"/>
          <w:szCs w:val="20"/>
          <w:highlight w:val="yellow"/>
          <w:rtl w:val="0"/>
        </w:rPr>
        <w:t xml:space="preserve">Contract says 0-100 prescribers is $10 and 101-1000 prescribers is $8. Contract also says 10 prescribers free.</w:t>
      </w:r>
    </w:p>
    <w:p w:rsidR="00000000" w:rsidDel="00000000" w:rsidP="00000000" w:rsidRDefault="00000000" w:rsidRPr="00000000" w14:paraId="0000003D">
      <w:pPr>
        <w:numPr>
          <w:ilvl w:val="2"/>
          <w:numId w:val="6"/>
        </w:numPr>
        <w:ind w:left="2160" w:hanging="360"/>
        <w:rPr>
          <w:strike w:val="1"/>
          <w:sz w:val="20"/>
          <w:szCs w:val="20"/>
          <w:highlight w:val="yellow"/>
        </w:rPr>
      </w:pPr>
      <w:r w:rsidDel="00000000" w:rsidR="00000000" w:rsidRPr="00000000">
        <w:rPr>
          <w:strike w:val="1"/>
          <w:sz w:val="20"/>
          <w:szCs w:val="20"/>
          <w:highlight w:val="yellow"/>
          <w:rtl w:val="0"/>
        </w:rPr>
        <w:t xml:space="preserve">Process this as 11-110 prescribers at $10, and 111-1010 prescribers at $8. Do not include a tier for the free included amount of prescribers.</w:t>
        <w:br w:type="textWrapping"/>
      </w:r>
      <w:r w:rsidDel="00000000" w:rsidR="00000000" w:rsidRPr="00000000">
        <w:rPr>
          <w:strike w:val="1"/>
          <w:sz w:val="20"/>
          <w:szCs w:val="20"/>
          <w:highlight w:val="yellow"/>
        </w:rPr>
        <w:drawing>
          <wp:inline distB="114300" distT="114300" distL="114300" distR="114300">
            <wp:extent cx="19507200" cy="66008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50720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There is usually also tiered pricing associated with Non-EPCS prescribers (NON-EPCS), EPCS prescribers (EPCS), and prescriptions (RX). Tiered pricing should include the unit price in the description field.</w:t>
        <w:br w:type="textWrapping"/>
      </w:r>
      <w:r w:rsidDel="00000000" w:rsidR="00000000" w:rsidRPr="00000000">
        <w:rPr>
          <w:sz w:val="20"/>
          <w:szCs w:val="20"/>
          <w:highlight w:val="yellow"/>
        </w:rPr>
        <w:drawing>
          <wp:inline distB="114300" distT="114300" distL="114300" distR="114300">
            <wp:extent cx="19507200" cy="3857128"/>
            <wp:effectExtent b="0" l="0" r="0" t="0"/>
            <wp:docPr id="5" name="image4.png"/>
            <a:graphic>
              <a:graphicData uri="http://schemas.openxmlformats.org/drawingml/2006/picture">
                <pic:pic>
                  <pic:nvPicPr>
                    <pic:cNvPr id="0" name="image4.png"/>
                    <pic:cNvPicPr preferRelativeResize="0"/>
                  </pic:nvPicPr>
                  <pic:blipFill>
                    <a:blip r:embed="rId8"/>
                    <a:srcRect b="0" l="0" r="0" t="67962"/>
                    <a:stretch>
                      <a:fillRect/>
                    </a:stretch>
                  </pic:blipFill>
                  <pic:spPr>
                    <a:xfrm>
                      <a:off x="0" y="0"/>
                      <a:ext cx="19507200" cy="3857128"/>
                    </a:xfrm>
                    <a:prstGeom prst="rect"/>
                    <a:ln/>
                  </pic:spPr>
                </pic:pic>
              </a:graphicData>
            </a:graphic>
          </wp:inline>
        </w:drawing>
      </w:r>
      <w:r w:rsidDel="00000000" w:rsidR="00000000" w:rsidRPr="00000000">
        <w:rPr>
          <w:sz w:val="20"/>
          <w:szCs w:val="20"/>
          <w:highlight w:val="yellow"/>
          <w:rtl w:val="0"/>
        </w:rPr>
        <w:br w:type="textWrapping"/>
        <w:br w:type="textWrapping"/>
      </w:r>
      <w:r w:rsidDel="00000000" w:rsidR="00000000" w:rsidRPr="00000000">
        <w:rPr>
          <w:sz w:val="20"/>
          <w:szCs w:val="20"/>
          <w:highlight w:val="yellow"/>
          <w:rtl w:val="0"/>
        </w:rPr>
        <w:t xml:space="preserve">NEW: Some contracts only contain Non-EPCS Pricing or only contain EPCS Pricing. If only one is in the contract, please still include the other one and use the same pricing. That is, if a contract treats EPCS and Non-EPCS the same, we want billing terms for both so that we can 111be sure they are all billed.</w:t>
        <w:br w:type="textWrapping"/>
      </w:r>
      <w:r w:rsidDel="00000000" w:rsidR="00000000" w:rsidRPr="00000000">
        <w:rPr>
          <w:rtl w:val="0"/>
        </w:rPr>
      </w:r>
    </w:p>
    <w:p w:rsidR="00000000" w:rsidDel="00000000" w:rsidP="00000000" w:rsidRDefault="00000000" w:rsidRPr="00000000" w14:paraId="0000003F">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There is usually also unit pricing associated with prescription ag</w:t>
      </w:r>
    </w:p>
    <w:p w:rsidR="00000000" w:rsidDel="00000000" w:rsidP="00000000" w:rsidRDefault="00000000" w:rsidRPr="00000000" w14:paraId="00000040">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ents (AGENTS). Unit pricing should include the unit price in the description field. </w:t>
      </w:r>
      <w:r w:rsidDel="00000000" w:rsidR="00000000" w:rsidRPr="00000000">
        <w:rPr>
          <w:sz w:val="20"/>
          <w:szCs w:val="20"/>
          <w:highlight w:val="yellow"/>
        </w:rPr>
        <w:drawing>
          <wp:inline distB="114300" distT="114300" distL="114300" distR="114300">
            <wp:extent cx="16992600" cy="920115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992600" cy="92011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There is usually also unit pricing associated with ID Proofing (IDP). Unit pricing should include the unit price in the description field. </w:t>
        <w:br w:type="textWrapping"/>
      </w:r>
      <w:r w:rsidDel="00000000" w:rsidR="00000000" w:rsidRPr="00000000">
        <w:rPr>
          <w:sz w:val="20"/>
          <w:szCs w:val="20"/>
          <w:highlight w:val="yellow"/>
        </w:rPr>
        <w:drawing>
          <wp:inline distB="114300" distT="114300" distL="114300" distR="114300">
            <wp:extent cx="16306800" cy="912495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306800" cy="9124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If there is an implementation fee, it is billed on the signature date. This step can be skipped for old contracts (anything uploaded before Nov 1, 2024) because they have already been billed.</w:t>
      </w:r>
      <w:r w:rsidDel="00000000" w:rsidR="00000000" w:rsidRPr="00000000">
        <w:rPr>
          <w:sz w:val="20"/>
          <w:szCs w:val="20"/>
          <w:highlight w:val="yellow"/>
          <w:rtl w:val="0"/>
        </w:rPr>
        <w:br w:type="textWrapping"/>
      </w:r>
    </w:p>
    <w:p w:rsidR="00000000" w:rsidDel="00000000" w:rsidP="00000000" w:rsidRDefault="00000000" w:rsidRPr="00000000" w14:paraId="00000043">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NEW: Add an additional revenue schedule and billing term for “Included Prescribers”. This will be UNIT_PRICE with Event to track “FREE” and will be $0 each. </w:t>
      </w:r>
    </w:p>
    <w:p w:rsidR="00000000" w:rsidDel="00000000" w:rsidP="00000000" w:rsidRDefault="00000000" w:rsidRPr="00000000" w14:paraId="00000044">
      <w:pPr>
        <w:numPr>
          <w:ilvl w:val="2"/>
          <w:numId w:val="6"/>
        </w:numPr>
        <w:ind w:left="2160" w:hanging="360"/>
        <w:rPr>
          <w:sz w:val="20"/>
          <w:szCs w:val="20"/>
          <w:highlight w:val="yellow"/>
          <w:u w:val="none"/>
        </w:rPr>
      </w:pPr>
      <w:r w:rsidDel="00000000" w:rsidR="00000000" w:rsidRPr="00000000">
        <w:rPr>
          <w:sz w:val="20"/>
          <w:szCs w:val="20"/>
          <w:highlight w:val="yellow"/>
          <w:rtl w:val="0"/>
        </w:rPr>
        <w:t xml:space="preserve">[ ]</w:t>
      </w:r>
    </w:p>
    <w:p w:rsidR="00000000" w:rsidDel="00000000" w:rsidP="00000000" w:rsidRDefault="00000000" w:rsidRPr="00000000" w14:paraId="00000045">
      <w:pPr>
        <w:ind w:left="1440" w:firstLine="0"/>
        <w:rPr>
          <w:sz w:val="20"/>
          <w:szCs w:val="20"/>
          <w:highlight w:val="yellow"/>
        </w:rPr>
      </w:pPr>
      <w:r w:rsidDel="00000000" w:rsidR="00000000" w:rsidRPr="00000000">
        <w:rPr>
          <w:rtl w:val="0"/>
        </w:rPr>
      </w:r>
    </w:p>
    <w:p w:rsidR="00000000" w:rsidDel="00000000" w:rsidP="00000000" w:rsidRDefault="00000000" w:rsidRPr="00000000" w14:paraId="00000046">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r>
    </w:p>
    <w:p w:rsidR="00000000" w:rsidDel="00000000" w:rsidP="00000000" w:rsidRDefault="00000000" w:rsidRPr="00000000" w14:paraId="00000047">
      <w:pPr>
        <w:numPr>
          <w:ilvl w:val="1"/>
          <w:numId w:val="6"/>
        </w:numPr>
        <w:ind w:left="1440" w:hanging="360"/>
        <w:rPr>
          <w:sz w:val="20"/>
          <w:szCs w:val="20"/>
          <w:highlight w:val="yellow"/>
        </w:rPr>
      </w:pPr>
      <w:r w:rsidDel="00000000" w:rsidR="00000000" w:rsidRPr="00000000">
        <w:rPr>
          <w:sz w:val="20"/>
          <w:szCs w:val="20"/>
          <w:highlight w:val="yellow"/>
          <w:rtl w:val="0"/>
        </w:rPr>
        <w:t xml:space="preserve">Ignore pricing related to Certification, Re-Certification, and Hardware Tokens.</w:t>
        <w:br w:type="textWrapping"/>
      </w:r>
    </w:p>
    <w:p w:rsidR="00000000" w:rsidDel="00000000" w:rsidP="00000000" w:rsidRDefault="00000000" w:rsidRPr="00000000" w14:paraId="00000048">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9">
      <w:pPr>
        <w:numPr>
          <w:ilvl w:val="1"/>
          <w:numId w:val="6"/>
        </w:numPr>
        <w:ind w:left="1440" w:hanging="360"/>
        <w:rPr>
          <w:sz w:val="20"/>
          <w:szCs w:val="20"/>
          <w:highlight w:val="yellow"/>
        </w:rPr>
      </w:pPr>
      <w:r w:rsidDel="00000000" w:rsidR="00000000" w:rsidRPr="00000000">
        <w:rPr>
          <w:sz w:val="20"/>
          <w:szCs w:val="20"/>
          <w:highlight w:val="yellow"/>
          <w:rtl w:val="0"/>
        </w:rPr>
        <w:t xml:space="preserve">None</w:t>
        <w:br w:type="textWrapping"/>
      </w:r>
    </w:p>
    <w:p w:rsidR="00000000" w:rsidDel="00000000" w:rsidP="00000000" w:rsidRDefault="00000000" w:rsidRPr="00000000" w14:paraId="0000004A">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4B">
      <w:pPr>
        <w:numPr>
          <w:ilvl w:val="1"/>
          <w:numId w:val="6"/>
        </w:numPr>
        <w:ind w:left="1440" w:hanging="360"/>
        <w:rPr>
          <w:sz w:val="20"/>
          <w:szCs w:val="20"/>
          <w:highlight w:val="yellow"/>
        </w:rPr>
      </w:pPr>
      <w:r w:rsidDel="00000000" w:rsidR="00000000" w:rsidRPr="00000000">
        <w:rPr>
          <w:sz w:val="20"/>
          <w:szCs w:val="20"/>
          <w:highlight w:val="yellow"/>
          <w:rtl w:val="0"/>
        </w:rPr>
        <w:t xml:space="preserve">Always one year starting the first day of the current month (e.g. Oct 1 2024) and with frequency MONTHLY and duration 12 INVOICES.</w:t>
      </w:r>
    </w:p>
    <w:p w:rsidR="00000000" w:rsidDel="00000000" w:rsidP="00000000" w:rsidRDefault="00000000" w:rsidRPr="00000000" w14:paraId="0000004C">
      <w:pPr>
        <w:numPr>
          <w:ilvl w:val="2"/>
          <w:numId w:val="6"/>
        </w:numPr>
        <w:ind w:left="2160" w:hanging="360"/>
        <w:rPr>
          <w:sz w:val="20"/>
          <w:szCs w:val="20"/>
          <w:highlight w:val="yellow"/>
          <w:u w:val="none"/>
        </w:rPr>
      </w:pPr>
      <w:r w:rsidDel="00000000" w:rsidR="00000000" w:rsidRPr="00000000">
        <w:rPr>
          <w:sz w:val="20"/>
          <w:szCs w:val="20"/>
          <w:highlight w:val="yellow"/>
          <w:rtl w:val="0"/>
        </w:rPr>
        <w:t xml:space="preserve">Signature date is Nov 7, default to Nov 1 first billing date.</w:t>
      </w:r>
      <w:r w:rsidDel="00000000" w:rsidR="00000000" w:rsidRPr="00000000">
        <w:rPr>
          <w:rtl w:val="0"/>
        </w:rPr>
      </w:r>
    </w:p>
    <w:p w:rsidR="00000000" w:rsidDel="00000000" w:rsidP="00000000" w:rsidRDefault="00000000" w:rsidRPr="00000000" w14:paraId="0000004D">
      <w:pPr>
        <w:rPr>
          <w:sz w:val="20"/>
          <w:szCs w:val="20"/>
          <w:highlight w:val="yellow"/>
        </w:rPr>
      </w:pPr>
      <w:r w:rsidDel="00000000" w:rsidR="00000000" w:rsidRPr="00000000">
        <w:rPr>
          <w:rtl w:val="0"/>
        </w:rPr>
      </w:r>
    </w:p>
    <w:p w:rsidR="00000000" w:rsidDel="00000000" w:rsidP="00000000" w:rsidRDefault="00000000" w:rsidRPr="00000000" w14:paraId="0000004E">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4F">
      <w:pPr>
        <w:numPr>
          <w:ilvl w:val="1"/>
          <w:numId w:val="6"/>
        </w:numPr>
        <w:ind w:left="1440" w:hanging="360"/>
        <w:rPr>
          <w:sz w:val="20"/>
          <w:szCs w:val="20"/>
          <w:highlight w:val="yellow"/>
        </w:rPr>
      </w:pPr>
      <w:r w:rsidDel="00000000" w:rsidR="00000000" w:rsidRPr="00000000">
        <w:rPr>
          <w:sz w:val="20"/>
          <w:szCs w:val="20"/>
          <w:highlight w:val="yellow"/>
          <w:rtl w:val="0"/>
        </w:rPr>
        <w:t xml:space="preserve">Net 15 in all cases unless an implementation SKU is included and says DUE ON RECEIPT (then use Net 0).</w:t>
        <w:br w:type="textWrapping"/>
      </w:r>
    </w:p>
    <w:p w:rsidR="00000000" w:rsidDel="00000000" w:rsidP="00000000" w:rsidRDefault="00000000" w:rsidRPr="00000000" w14:paraId="00000050">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1">
      <w:pPr>
        <w:numPr>
          <w:ilvl w:val="1"/>
          <w:numId w:val="6"/>
        </w:numPr>
        <w:ind w:left="1440" w:hanging="360"/>
        <w:rPr>
          <w:sz w:val="20"/>
          <w:szCs w:val="20"/>
          <w:highlight w:val="yellow"/>
        </w:rPr>
      </w:pPr>
      <w:r w:rsidDel="00000000" w:rsidR="00000000" w:rsidRPr="00000000">
        <w:rPr>
          <w:sz w:val="20"/>
          <w:szCs w:val="20"/>
          <w:highlight w:val="yellow"/>
          <w:rtl w:val="0"/>
        </w:rPr>
        <w:t xml:space="preserve">Monthly</w:t>
      </w:r>
    </w:p>
    <w:p w:rsidR="00000000" w:rsidDel="00000000" w:rsidP="00000000" w:rsidRDefault="00000000" w:rsidRPr="00000000" w14:paraId="00000052">
      <w:pPr>
        <w:ind w:left="1440" w:firstLine="0"/>
        <w:rPr>
          <w:sz w:val="20"/>
          <w:szCs w:val="20"/>
          <w:highlight w:val="yellow"/>
        </w:rPr>
      </w:pPr>
      <w:r w:rsidDel="00000000" w:rsidR="00000000" w:rsidRPr="00000000">
        <w:rPr>
          <w:rtl w:val="0"/>
        </w:rPr>
      </w:r>
    </w:p>
    <w:p w:rsidR="00000000" w:rsidDel="00000000" w:rsidP="00000000" w:rsidRDefault="00000000" w:rsidRPr="00000000" w14:paraId="00000053">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4">
      <w:pPr>
        <w:numPr>
          <w:ilvl w:val="1"/>
          <w:numId w:val="6"/>
        </w:numPr>
        <w:ind w:left="1440" w:hanging="360"/>
        <w:rPr>
          <w:sz w:val="20"/>
          <w:szCs w:val="20"/>
          <w:highlight w:val="yellow"/>
        </w:rPr>
      </w:pPr>
      <w:r w:rsidDel="00000000" w:rsidR="00000000" w:rsidRPr="00000000">
        <w:rPr>
          <w:sz w:val="20"/>
          <w:szCs w:val="20"/>
          <w:highlight w:val="yellow"/>
          <w:rtl w:val="0"/>
        </w:rPr>
        <w:t xml:space="preserve">No taxes</w:t>
      </w: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6">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7">
      <w:pPr>
        <w:numPr>
          <w:ilvl w:val="1"/>
          <w:numId w:val="3"/>
        </w:numPr>
        <w:ind w:left="1440" w:hanging="360"/>
        <w:rPr>
          <w:sz w:val="20"/>
          <w:szCs w:val="20"/>
          <w:highlight w:val="yellow"/>
        </w:rPr>
      </w:pPr>
      <w:r w:rsidDel="00000000" w:rsidR="00000000" w:rsidRPr="00000000">
        <w:rPr>
          <w:sz w:val="20"/>
          <w:szCs w:val="20"/>
          <w:highlight w:val="yellow"/>
          <w:rtl w:val="0"/>
        </w:rPr>
        <w:t xml:space="preserve">Non-EPCS prescribers (NON-EPCS)</w:t>
        <w:br w:type="textWrapping"/>
      </w:r>
      <w:r w:rsidDel="00000000" w:rsidR="00000000" w:rsidRPr="00000000">
        <w:rPr>
          <w:sz w:val="20"/>
          <w:szCs w:val="20"/>
          <w:highlight w:val="yellow"/>
        </w:rPr>
        <w:drawing>
          <wp:inline distB="114300" distT="114300" distL="114300" distR="114300">
            <wp:extent cx="7382797" cy="4023047"/>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382797" cy="40230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3"/>
        </w:numPr>
        <w:ind w:left="1440" w:hanging="360"/>
        <w:rPr>
          <w:sz w:val="20"/>
          <w:szCs w:val="20"/>
          <w:highlight w:val="yellow"/>
        </w:rPr>
      </w:pPr>
      <w:r w:rsidDel="00000000" w:rsidR="00000000" w:rsidRPr="00000000">
        <w:rPr>
          <w:sz w:val="20"/>
          <w:szCs w:val="20"/>
          <w:highlight w:val="yellow"/>
          <w:rtl w:val="0"/>
        </w:rPr>
        <w:t xml:space="preserve">EPCS prescribers (EPCS)</w:t>
      </w:r>
    </w:p>
    <w:p w:rsidR="00000000" w:rsidDel="00000000" w:rsidP="00000000" w:rsidRDefault="00000000" w:rsidRPr="00000000" w14:paraId="00000059">
      <w:pPr>
        <w:numPr>
          <w:ilvl w:val="1"/>
          <w:numId w:val="3"/>
        </w:numPr>
        <w:ind w:left="1440" w:hanging="360"/>
        <w:rPr>
          <w:sz w:val="20"/>
          <w:szCs w:val="20"/>
          <w:highlight w:val="yellow"/>
        </w:rPr>
      </w:pPr>
      <w:r w:rsidDel="00000000" w:rsidR="00000000" w:rsidRPr="00000000">
        <w:rPr>
          <w:sz w:val="20"/>
          <w:szCs w:val="20"/>
          <w:highlight w:val="yellow"/>
          <w:rtl w:val="0"/>
        </w:rPr>
        <w:t xml:space="preserve">Prescriptions (RX)</w:t>
      </w:r>
    </w:p>
    <w:p w:rsidR="00000000" w:rsidDel="00000000" w:rsidP="00000000" w:rsidRDefault="00000000" w:rsidRPr="00000000" w14:paraId="0000005A">
      <w:pPr>
        <w:numPr>
          <w:ilvl w:val="1"/>
          <w:numId w:val="3"/>
        </w:numPr>
        <w:ind w:left="1440" w:hanging="360"/>
        <w:rPr>
          <w:sz w:val="20"/>
          <w:szCs w:val="20"/>
          <w:highlight w:val="yellow"/>
          <w:u w:val="none"/>
        </w:rPr>
      </w:pPr>
      <w:r w:rsidDel="00000000" w:rsidR="00000000" w:rsidRPr="00000000">
        <w:rPr>
          <w:sz w:val="20"/>
          <w:szCs w:val="20"/>
          <w:highlight w:val="yellow"/>
          <w:rtl w:val="0"/>
        </w:rPr>
        <w:t xml:space="preserve">Prescription Agents (AGENTS)</w:t>
      </w:r>
    </w:p>
    <w:p w:rsidR="00000000" w:rsidDel="00000000" w:rsidP="00000000" w:rsidRDefault="00000000" w:rsidRPr="00000000" w14:paraId="0000005B">
      <w:pPr>
        <w:numPr>
          <w:ilvl w:val="1"/>
          <w:numId w:val="3"/>
        </w:numPr>
        <w:ind w:left="1440" w:hanging="360"/>
        <w:rPr>
          <w:sz w:val="20"/>
          <w:szCs w:val="20"/>
          <w:highlight w:val="yellow"/>
          <w:u w:val="none"/>
        </w:rPr>
      </w:pPr>
      <w:r w:rsidDel="00000000" w:rsidR="00000000" w:rsidRPr="00000000">
        <w:rPr>
          <w:sz w:val="20"/>
          <w:szCs w:val="20"/>
          <w:highlight w:val="yellow"/>
          <w:rtl w:val="0"/>
        </w:rPr>
        <w:t xml:space="preserve">ID Proofing (IDP)</w:t>
      </w:r>
    </w:p>
    <w:p w:rsidR="00000000" w:rsidDel="00000000" w:rsidP="00000000" w:rsidRDefault="00000000" w:rsidRPr="00000000" w14:paraId="0000005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E">
      <w:pPr>
        <w:ind w:left="0" w:firstLine="0"/>
        <w:rPr>
          <w:sz w:val="20"/>
          <w:szCs w:val="20"/>
          <w:highlight w:val="yellow"/>
        </w:rPr>
      </w:pPr>
      <w:r w:rsidDel="00000000" w:rsidR="00000000" w:rsidRPr="00000000">
        <w:rPr>
          <w:sz w:val="20"/>
          <w:szCs w:val="20"/>
          <w:highlight w:val="yellow"/>
          <w:rtl w:val="0"/>
        </w:rPr>
        <w:t xml:space="preserve">NEW: Integration items are below:</w:t>
      </w:r>
    </w:p>
    <w:p w:rsidR="00000000" w:rsidDel="00000000" w:rsidP="00000000" w:rsidRDefault="00000000" w:rsidRPr="00000000" w14:paraId="0000005F">
      <w:pPr>
        <w:ind w:left="0" w:firstLine="0"/>
        <w:rPr>
          <w:sz w:val="20"/>
          <w:szCs w:val="20"/>
          <w:highlight w:val="yellow"/>
        </w:rPr>
      </w:pPr>
      <w:r w:rsidDel="00000000" w:rsidR="00000000" w:rsidRPr="00000000">
        <w:rPr>
          <w:rtl w:val="0"/>
        </w:rPr>
      </w:r>
    </w:p>
    <w:tbl>
      <w:tblPr>
        <w:tblStyle w:val="Table2"/>
        <w:tblW w:w="10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3495"/>
        <w:gridCol w:w="3495"/>
        <w:tblGridChange w:id="0">
          <w:tblGrid>
            <w:gridCol w:w="3270"/>
            <w:gridCol w:w="34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0"/>
                <w:szCs w:val="20"/>
                <w:highlight w:val="yellow"/>
              </w:rPr>
            </w:pPr>
            <w:r w:rsidDel="00000000" w:rsidR="00000000" w:rsidRPr="00000000">
              <w:rPr>
                <w:b w:val="1"/>
                <w:sz w:val="20"/>
                <w:szCs w:val="20"/>
                <w:highlight w:val="yellow"/>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yellow"/>
              </w:rPr>
            </w:pPr>
            <w:r w:rsidDel="00000000" w:rsidR="00000000" w:rsidRPr="00000000">
              <w:rPr>
                <w:b w:val="1"/>
                <w:sz w:val="20"/>
                <w:szCs w:val="20"/>
                <w:highlight w:val="yellow"/>
                <w:rtl w:val="0"/>
              </w:rPr>
              <w:t xml:space="preserve">Integration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yellow"/>
              </w:rPr>
            </w:pPr>
            <w:r w:rsidDel="00000000" w:rsidR="00000000" w:rsidRPr="00000000">
              <w:rPr>
                <w:b w:val="1"/>
                <w:sz w:val="20"/>
                <w:szCs w:val="20"/>
                <w:highlight w:val="yellow"/>
                <w:rtl w:val="0"/>
              </w:rPr>
              <w:t xml:space="preserve">Event to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0"/>
                <w:szCs w:val="20"/>
                <w:highlight w:val="yellow"/>
              </w:rPr>
            </w:pPr>
            <w:r w:rsidDel="00000000" w:rsidR="00000000" w:rsidRPr="00000000">
              <w:rPr>
                <w:sz w:val="20"/>
                <w:szCs w:val="20"/>
                <w:highlight w:val="yellow"/>
                <w:rtl w:val="0"/>
              </w:rPr>
              <w:t xml:space="preserve">EPCS Prescribers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216</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1U-EPCS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EPCS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highlight w:val="yellow"/>
              </w:rPr>
            </w:pPr>
            <w:r w:rsidDel="00000000" w:rsidR="00000000" w:rsidRPr="00000000">
              <w:rPr>
                <w:sz w:val="20"/>
                <w:szCs w:val="20"/>
                <w:highlight w:val="yellow"/>
                <w:rtl w:val="0"/>
              </w:rPr>
              <w:t xml:space="preserve">Non-EPCS Prescribers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218</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1U-NONEPCS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Non-EPCS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highlight w:val="yellow"/>
              </w:rPr>
            </w:pPr>
            <w:r w:rsidDel="00000000" w:rsidR="00000000" w:rsidRPr="00000000">
              <w:rPr>
                <w:sz w:val="20"/>
                <w:szCs w:val="20"/>
                <w:highlight w:val="yellow"/>
                <w:rtl w:val="0"/>
              </w:rPr>
              <w:t xml:space="preserve">Agents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430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1U-AGENT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Agents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highlight w:val="yellow"/>
              </w:rPr>
            </w:pPr>
            <w:r w:rsidDel="00000000" w:rsidR="00000000" w:rsidRPr="00000000">
              <w:rPr>
                <w:sz w:val="20"/>
                <w:szCs w:val="20"/>
                <w:highlight w:val="yellow"/>
                <w:rtl w:val="0"/>
              </w:rPr>
              <w:t xml:space="preserve">Prescriptions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221</w:t>
              <w:br w:type="textWrapping"/>
              <w:t xml:space="preserve">1RX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Rx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highlight w:val="yellow"/>
              </w:rPr>
            </w:pPr>
            <w:r w:rsidDel="00000000" w:rsidR="00000000" w:rsidRPr="00000000">
              <w:rPr>
                <w:sz w:val="20"/>
                <w:szCs w:val="20"/>
                <w:highlight w:val="yellow"/>
                <w:rtl w:val="0"/>
              </w:rPr>
              <w:t xml:space="preserve">ID Proofing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410</w:t>
              <w:br w:type="textWrapping"/>
              <w:t xml:space="preserve">IDPROOF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IDP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highlight w:val="yellow"/>
              </w:rPr>
            </w:pPr>
            <w:r w:rsidDel="00000000" w:rsidR="00000000" w:rsidRPr="00000000">
              <w:rPr>
                <w:sz w:val="20"/>
                <w:szCs w:val="20"/>
                <w:highlight w:val="yellow"/>
                <w:rtl w:val="0"/>
              </w:rPr>
              <w:t xml:space="preserve">Included Prescribers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433</w:t>
              <w:br w:type="textWrapping"/>
              <w:t xml:space="preserve">1U-NONEPCS - First 10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highlight w:val="yellow"/>
              </w:rPr>
            </w:pPr>
            <w:r w:rsidDel="00000000" w:rsidR="00000000" w:rsidRPr="00000000">
              <w:rPr>
                <w:sz w:val="20"/>
                <w:szCs w:val="20"/>
                <w:highlight w:val="yellow"/>
                <w:rtl w:val="0"/>
              </w:rPr>
              <w:t xml:space="preserve">Jumpstart SubscriptionF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232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JUMP-10U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rtl w:val="0"/>
              </w:rPr>
            </w:r>
          </w:p>
        </w:tc>
      </w:tr>
    </w:tbl>
    <w:p w:rsidR="00000000" w:rsidDel="00000000" w:rsidP="00000000" w:rsidRDefault="00000000" w:rsidRPr="00000000" w14:paraId="0000007C">
      <w:pPr>
        <w:ind w:left="0" w:firstLine="0"/>
        <w:rPr>
          <w:sz w:val="20"/>
          <w:szCs w:val="20"/>
          <w:highlight w:val="yellow"/>
        </w:rPr>
      </w:pPr>
      <w:r w:rsidDel="00000000" w:rsidR="00000000" w:rsidRPr="00000000">
        <w:rPr>
          <w:rtl w:val="0"/>
        </w:rPr>
      </w:r>
    </w:p>
    <w:p w:rsidR="00000000" w:rsidDel="00000000" w:rsidP="00000000" w:rsidRDefault="00000000" w:rsidRPr="00000000" w14:paraId="0000007D">
      <w:pPr>
        <w:ind w:left="720" w:firstLine="0"/>
        <w:rPr>
          <w:sz w:val="20"/>
          <w:szCs w:val="20"/>
        </w:rPr>
      </w:pPr>
      <w:r w:rsidDel="00000000" w:rsidR="00000000" w:rsidRPr="00000000">
        <w:rPr>
          <w:rtl w:val="0"/>
        </w:rPr>
      </w:r>
    </w:p>
    <w:p w:rsidR="00000000" w:rsidDel="00000000" w:rsidP="00000000" w:rsidRDefault="00000000" w:rsidRPr="00000000" w14:paraId="0000007E">
      <w:pPr>
        <w:ind w:left="720" w:firstLine="0"/>
        <w:rPr>
          <w:sz w:val="20"/>
          <w:szCs w:val="20"/>
        </w:rPr>
      </w:pPr>
      <w:r w:rsidDel="00000000" w:rsidR="00000000" w:rsidRPr="00000000">
        <w:rPr>
          <w:rtl w:val="0"/>
        </w:rPr>
      </w:r>
    </w:p>
    <w:p w:rsidR="00000000" w:rsidDel="00000000" w:rsidP="00000000" w:rsidRDefault="00000000" w:rsidRPr="00000000" w14:paraId="0000007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1">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None</w:t>
      </w:r>
    </w:p>
    <w:p w:rsidR="00000000" w:rsidDel="00000000" w:rsidP="00000000" w:rsidRDefault="00000000" w:rsidRPr="00000000" w14:paraId="00000082">
      <w:pPr>
        <w:ind w:left="720" w:firstLine="0"/>
        <w:rPr>
          <w:sz w:val="20"/>
          <w:szCs w:val="20"/>
          <w:highlight w:val="yellow"/>
        </w:rPr>
      </w:pPr>
      <w:r w:rsidDel="00000000" w:rsidR="00000000" w:rsidRPr="00000000">
        <w:rPr>
          <w:rtl w:val="0"/>
        </w:rPr>
      </w:r>
    </w:p>
    <w:p w:rsidR="00000000" w:rsidDel="00000000" w:rsidP="00000000" w:rsidRDefault="00000000" w:rsidRPr="00000000" w14:paraId="00000083">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4">
      <w:pPr>
        <w:numPr>
          <w:ilvl w:val="0"/>
          <w:numId w:val="7"/>
        </w:numPr>
        <w:ind w:left="720" w:hanging="360"/>
        <w:rPr>
          <w:sz w:val="20"/>
          <w:szCs w:val="20"/>
          <w:highlight w:val="yellow"/>
        </w:rPr>
      </w:pPr>
      <w:r w:rsidDel="00000000" w:rsidR="00000000" w:rsidRPr="00000000">
        <w:rPr>
          <w:sz w:val="20"/>
          <w:szCs w:val="20"/>
          <w:highlight w:val="yellow"/>
          <w:rtl w:val="0"/>
        </w:rPr>
        <w:t xml:space="preserve">None</w:t>
      </w:r>
    </w:p>
    <w:p w:rsidR="00000000" w:rsidDel="00000000" w:rsidP="00000000" w:rsidRDefault="00000000" w:rsidRPr="00000000" w14:paraId="00000085">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6">
      <w:pPr>
        <w:numPr>
          <w:ilvl w:val="0"/>
          <w:numId w:val="1"/>
        </w:numPr>
        <w:ind w:left="720" w:hanging="360"/>
        <w:rPr>
          <w:sz w:val="20"/>
          <w:szCs w:val="20"/>
        </w:rPr>
      </w:pPr>
      <w:r w:rsidDel="00000000" w:rsidR="00000000" w:rsidRPr="00000000">
        <w:rPr>
          <w:sz w:val="20"/>
          <w:szCs w:val="20"/>
          <w:rtl w:val="0"/>
        </w:rPr>
        <w:t xml:space="preserve">Auto attachment of usage data to invoices</w:t>
      </w:r>
    </w:p>
    <w:p w:rsidR="00000000" w:rsidDel="00000000" w:rsidP="00000000" w:rsidRDefault="00000000" w:rsidRPr="00000000" w14:paraId="00000087">
      <w:pPr>
        <w:numPr>
          <w:ilvl w:val="1"/>
          <w:numId w:val="1"/>
        </w:numPr>
        <w:ind w:left="1440" w:hanging="360"/>
        <w:rPr>
          <w:sz w:val="20"/>
          <w:szCs w:val="20"/>
        </w:rPr>
      </w:pPr>
      <w:r w:rsidDel="00000000" w:rsidR="00000000" w:rsidRPr="00000000">
        <w:rPr>
          <w:sz w:val="20"/>
          <w:szCs w:val="20"/>
          <w:rtl w:val="0"/>
        </w:rPr>
        <w:t xml:space="preserve">Monthly usage data with # of prescriptions for each invoice</w:t>
      </w:r>
    </w:p>
    <w:p w:rsidR="00000000" w:rsidDel="00000000" w:rsidP="00000000" w:rsidRDefault="00000000" w:rsidRPr="00000000" w14:paraId="00000088">
      <w:pPr>
        <w:numPr>
          <w:ilvl w:val="1"/>
          <w:numId w:val="1"/>
        </w:numPr>
        <w:ind w:left="1440" w:hanging="360"/>
        <w:rPr>
          <w:sz w:val="20"/>
          <w:szCs w:val="20"/>
        </w:rPr>
      </w:pPr>
      <w:r w:rsidDel="00000000" w:rsidR="00000000" w:rsidRPr="00000000">
        <w:rPr>
          <w:sz w:val="20"/>
          <w:szCs w:val="20"/>
          <w:rtl w:val="0"/>
        </w:rPr>
        <w:t xml:space="preserve">This takes Derrick 3 days every month and is one of the main reasons they are signing</w:t>
      </w:r>
    </w:p>
    <w:p w:rsidR="00000000" w:rsidDel="00000000" w:rsidP="00000000" w:rsidRDefault="00000000" w:rsidRPr="00000000" w14:paraId="00000089">
      <w:pPr>
        <w:numPr>
          <w:ilvl w:val="1"/>
          <w:numId w:val="1"/>
        </w:numPr>
        <w:ind w:left="1440" w:hanging="360"/>
        <w:rPr>
          <w:sz w:val="20"/>
          <w:szCs w:val="20"/>
        </w:rPr>
      </w:pPr>
      <w:r w:rsidDel="00000000" w:rsidR="00000000" w:rsidRPr="00000000">
        <w:rPr>
          <w:sz w:val="20"/>
          <w:szCs w:val="20"/>
          <w:rtl w:val="0"/>
        </w:rPr>
        <w:t xml:space="preserve">Professional services work to start, with eventual full automation</w:t>
      </w:r>
      <w:r w:rsidDel="00000000" w:rsidR="00000000" w:rsidRPr="00000000">
        <w:rPr>
          <w:rtl w:val="0"/>
        </w:rPr>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C">
      <w:pPr>
        <w:numPr>
          <w:ilvl w:val="0"/>
          <w:numId w:val="1"/>
        </w:numPr>
        <w:ind w:left="720" w:hanging="360"/>
        <w:rPr>
          <w:sz w:val="20"/>
          <w:szCs w:val="20"/>
        </w:rPr>
      </w:pPr>
      <w:r w:rsidDel="00000000" w:rsidR="00000000" w:rsidRPr="00000000">
        <w:rPr>
          <w:sz w:val="20"/>
          <w:szCs w:val="20"/>
          <w:rtl w:val="0"/>
        </w:rPr>
        <w:t xml:space="preserve">9/10/24 - AR Heroes Demo</w:t>
      </w:r>
    </w:p>
    <w:p w:rsidR="00000000" w:rsidDel="00000000" w:rsidP="00000000" w:rsidRDefault="00000000" w:rsidRPr="00000000" w14:paraId="0000008D">
      <w:pPr>
        <w:numPr>
          <w:ilvl w:val="1"/>
          <w:numId w:val="1"/>
        </w:numPr>
        <w:ind w:left="1440" w:hanging="360"/>
        <w:rPr>
          <w:sz w:val="20"/>
          <w:szCs w:val="20"/>
          <w:u w:val="none"/>
        </w:rPr>
      </w:pPr>
      <w:hyperlink r:id="rId12">
        <w:r w:rsidDel="00000000" w:rsidR="00000000" w:rsidRPr="00000000">
          <w:rPr>
            <w:color w:val="1155cc"/>
            <w:sz w:val="20"/>
            <w:szCs w:val="20"/>
            <w:u w:val="single"/>
            <w:rtl w:val="0"/>
          </w:rPr>
          <w:t xml:space="preserve">https://tabs.rewatch.com/video/3w2vfbt6yhly27o6-dosespot-tabs-demo-september-10-2024</w:t>
        </w:r>
      </w:hyperlink>
      <w:r w:rsidDel="00000000" w:rsidR="00000000" w:rsidRPr="00000000">
        <w:rPr>
          <w:rtl w:val="0"/>
        </w:rPr>
      </w:r>
    </w:p>
    <w:p w:rsidR="00000000" w:rsidDel="00000000" w:rsidP="00000000" w:rsidRDefault="00000000" w:rsidRPr="00000000" w14:paraId="0000008E">
      <w:pPr>
        <w:numPr>
          <w:ilvl w:val="0"/>
          <w:numId w:val="1"/>
        </w:numPr>
        <w:ind w:left="720" w:hanging="360"/>
        <w:rPr>
          <w:sz w:val="20"/>
          <w:szCs w:val="20"/>
          <w:u w:val="none"/>
        </w:rPr>
      </w:pPr>
      <w:r w:rsidDel="00000000" w:rsidR="00000000" w:rsidRPr="00000000">
        <w:rPr>
          <w:sz w:val="20"/>
          <w:szCs w:val="20"/>
          <w:rtl w:val="0"/>
        </w:rPr>
        <w:t xml:space="preserve">9/13/24 - Custom Demo</w:t>
      </w:r>
    </w:p>
    <w:p w:rsidR="00000000" w:rsidDel="00000000" w:rsidP="00000000" w:rsidRDefault="00000000" w:rsidRPr="00000000" w14:paraId="0000008F">
      <w:pPr>
        <w:numPr>
          <w:ilvl w:val="1"/>
          <w:numId w:val="1"/>
        </w:numPr>
        <w:ind w:left="1440" w:hanging="360"/>
        <w:rPr>
          <w:sz w:val="20"/>
          <w:szCs w:val="20"/>
          <w:u w:val="none"/>
        </w:rPr>
      </w:pPr>
      <w:hyperlink r:id="rId13">
        <w:r w:rsidDel="00000000" w:rsidR="00000000" w:rsidRPr="00000000">
          <w:rPr>
            <w:color w:val="1155cc"/>
            <w:sz w:val="20"/>
            <w:szCs w:val="20"/>
            <w:u w:val="single"/>
            <w:rtl w:val="0"/>
          </w:rPr>
          <w:t xml:space="preserve">https://tabs.rewatch.com/video/sw57nnmbql1u8zxz-dosespot-tabs-september-13-2024</w:t>
        </w:r>
      </w:hyperlink>
      <w:r w:rsidDel="00000000" w:rsidR="00000000" w:rsidRPr="00000000">
        <w:rPr>
          <w:rtl w:val="0"/>
        </w:rPr>
      </w:r>
    </w:p>
    <w:p w:rsidR="00000000" w:rsidDel="00000000" w:rsidP="00000000" w:rsidRDefault="00000000" w:rsidRPr="00000000" w14:paraId="00000090">
      <w:pPr>
        <w:numPr>
          <w:ilvl w:val="0"/>
          <w:numId w:val="1"/>
        </w:numPr>
        <w:ind w:left="720" w:hanging="360"/>
        <w:rPr>
          <w:sz w:val="20"/>
          <w:szCs w:val="20"/>
          <w:u w:val="none"/>
        </w:rPr>
      </w:pPr>
      <w:r w:rsidDel="00000000" w:rsidR="00000000" w:rsidRPr="00000000">
        <w:rPr>
          <w:sz w:val="20"/>
          <w:szCs w:val="20"/>
          <w:rtl w:val="0"/>
        </w:rPr>
        <w:t xml:space="preserve">9/17/24 - Check In call</w:t>
      </w:r>
    </w:p>
    <w:p w:rsidR="00000000" w:rsidDel="00000000" w:rsidP="00000000" w:rsidRDefault="00000000" w:rsidRPr="00000000" w14:paraId="00000091">
      <w:pPr>
        <w:numPr>
          <w:ilvl w:val="1"/>
          <w:numId w:val="1"/>
        </w:numPr>
        <w:ind w:left="1440" w:hanging="360"/>
        <w:rPr>
          <w:sz w:val="20"/>
          <w:szCs w:val="20"/>
          <w:u w:val="none"/>
        </w:rPr>
      </w:pPr>
      <w:hyperlink r:id="rId14">
        <w:r w:rsidDel="00000000" w:rsidR="00000000" w:rsidRPr="00000000">
          <w:rPr>
            <w:color w:val="1155cc"/>
            <w:sz w:val="20"/>
            <w:szCs w:val="20"/>
            <w:u w:val="single"/>
            <w:rtl w:val="0"/>
          </w:rPr>
          <w:t xml:space="preserve">https://tabs.rewatch.com/video/b02eac0296y1tp57-dosespot-tabs-check-in-september-17-2024</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2">
      <w:pPr>
        <w:numPr>
          <w:ilvl w:val="0"/>
          <w:numId w:val="1"/>
        </w:numPr>
        <w:ind w:left="720" w:hanging="360"/>
        <w:rPr>
          <w:sz w:val="20"/>
          <w:szCs w:val="20"/>
          <w:u w:val="none"/>
        </w:rPr>
      </w:pPr>
      <w:r w:rsidDel="00000000" w:rsidR="00000000" w:rsidRPr="00000000">
        <w:rPr>
          <w:sz w:val="20"/>
          <w:szCs w:val="20"/>
          <w:rtl w:val="0"/>
        </w:rPr>
        <w:t xml:space="preserve">9/19/24 - Netsuite Scoping</w:t>
      </w:r>
    </w:p>
    <w:p w:rsidR="00000000" w:rsidDel="00000000" w:rsidP="00000000" w:rsidRDefault="00000000" w:rsidRPr="00000000" w14:paraId="00000093">
      <w:pPr>
        <w:numPr>
          <w:ilvl w:val="1"/>
          <w:numId w:val="1"/>
        </w:numPr>
        <w:ind w:left="1440" w:hanging="360"/>
        <w:rPr>
          <w:sz w:val="20"/>
          <w:szCs w:val="20"/>
          <w:u w:val="none"/>
        </w:rPr>
      </w:pPr>
      <w:hyperlink r:id="rId15">
        <w:r w:rsidDel="00000000" w:rsidR="00000000" w:rsidRPr="00000000">
          <w:rPr>
            <w:color w:val="1155cc"/>
            <w:sz w:val="20"/>
            <w:szCs w:val="20"/>
            <w:u w:val="single"/>
            <w:rtl w:val="0"/>
          </w:rPr>
          <w:t xml:space="preserve">https://tabs.rewatch.com/video/0iq2dp0dxbxvpfu3-dosespot-tabs-netsuite-scoping-september-19-2024</w:t>
        </w:r>
      </w:hyperlink>
      <w:r w:rsidDel="00000000" w:rsidR="00000000" w:rsidRPr="00000000">
        <w:rPr>
          <w:rtl w:val="0"/>
        </w:rPr>
      </w:r>
    </w:p>
    <w:p w:rsidR="00000000" w:rsidDel="00000000" w:rsidP="00000000" w:rsidRDefault="00000000" w:rsidRPr="00000000" w14:paraId="00000094">
      <w:pPr>
        <w:numPr>
          <w:ilvl w:val="0"/>
          <w:numId w:val="1"/>
        </w:numPr>
        <w:ind w:left="720" w:hanging="360"/>
        <w:rPr>
          <w:sz w:val="20"/>
          <w:szCs w:val="20"/>
          <w:u w:val="none"/>
        </w:rPr>
      </w:pPr>
      <w:r w:rsidDel="00000000" w:rsidR="00000000" w:rsidRPr="00000000">
        <w:rPr>
          <w:sz w:val="20"/>
          <w:szCs w:val="20"/>
          <w:rtl w:val="0"/>
        </w:rPr>
        <w:t xml:space="preserve">9/20/24 - Referral Call with Joe from OpenClinica</w:t>
      </w:r>
    </w:p>
    <w:p w:rsidR="00000000" w:rsidDel="00000000" w:rsidP="00000000" w:rsidRDefault="00000000" w:rsidRPr="00000000" w14:paraId="00000095">
      <w:pPr>
        <w:numPr>
          <w:ilvl w:val="1"/>
          <w:numId w:val="1"/>
        </w:numPr>
        <w:ind w:left="1440" w:hanging="360"/>
        <w:rPr>
          <w:sz w:val="20"/>
          <w:szCs w:val="20"/>
          <w:u w:val="none"/>
        </w:rPr>
      </w:pPr>
      <w:hyperlink r:id="rId16">
        <w:r w:rsidDel="00000000" w:rsidR="00000000" w:rsidRPr="00000000">
          <w:rPr>
            <w:color w:val="1155cc"/>
            <w:sz w:val="20"/>
            <w:szCs w:val="20"/>
            <w:u w:val="single"/>
            <w:rtl w:val="0"/>
          </w:rPr>
          <w:t xml:space="preserve">https://tabs.rewatch.com/video/td22m9oopx7kqi0q-tabs-reference-joe-openclinica-derrick-david-dosespot-september-20-2024</w:t>
        </w:r>
      </w:hyperlink>
      <w:r w:rsidDel="00000000" w:rsidR="00000000" w:rsidRPr="00000000">
        <w:rPr>
          <w:rtl w:val="0"/>
        </w:rPr>
      </w:r>
    </w:p>
    <w:p w:rsidR="00000000" w:rsidDel="00000000" w:rsidP="00000000" w:rsidRDefault="00000000" w:rsidRPr="00000000" w14:paraId="00000096">
      <w:pPr>
        <w:numPr>
          <w:ilvl w:val="0"/>
          <w:numId w:val="1"/>
        </w:numPr>
        <w:ind w:left="720" w:hanging="360"/>
        <w:rPr>
          <w:sz w:val="20"/>
          <w:szCs w:val="20"/>
          <w:u w:val="none"/>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tabs.rewatch.com/video/sw57nnmbql1u8zxz-dosespot-tabs-september-13-2024" TargetMode="External"/><Relationship Id="rId12" Type="http://schemas.openxmlformats.org/officeDocument/2006/relationships/hyperlink" Target="https://tabs.rewatch.com/video/3w2vfbt6yhly27o6-dosespot-tabs-demo-september-10-20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tabs.rewatch.com/video/0iq2dp0dxbxvpfu3-dosespot-tabs-netsuite-scoping-september-19-2024" TargetMode="External"/><Relationship Id="rId14" Type="http://schemas.openxmlformats.org/officeDocument/2006/relationships/hyperlink" Target="https://tabs.rewatch.com/video/b02eac0296y1tp57-dosespot-tabs-check-in-september-17-2024" TargetMode="External"/><Relationship Id="rId17" Type="http://schemas.openxmlformats.org/officeDocument/2006/relationships/header" Target="header1.xml"/><Relationship Id="rId16" Type="http://schemas.openxmlformats.org/officeDocument/2006/relationships/hyperlink" Target="https://tabs.rewatch.com/video/td22m9oopx7kqi0q-tabs-reference-joe-openclinica-derrick-david-dosespot-september-20-2024" TargetMode="External"/><Relationship Id="rId5" Type="http://schemas.openxmlformats.org/officeDocument/2006/relationships/styles" Target="styles.xml"/><Relationship Id="rId6" Type="http://schemas.openxmlformats.org/officeDocument/2006/relationships/hyperlink" Target="https://garage.tabsplatform.com/prod/contracts/7b6d80c0-ad20-469b-b396-5de7bf9ed2d4/terms/revenue" TargetMode="Externa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