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Merchant: Hanover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9/17/2025</w:t>
        <w:br w:type="textWrapping"/>
        <w:t xml:space="preserve">Scoping start date: 9/15/2025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9/19/2025</w:t>
        <w:br w:type="textWrapping"/>
        <w:t xml:space="preserve">Onboarding Kick Off Date: 9/19/2025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10/1/2025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hyperlink r:id="rId6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Cory Blitz</w:t>
        </w:r>
      </w:hyperlink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hyperlink r:id="rId7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Sam Johnson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793410059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937153122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1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  <w:hyperlink r:id="rId8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Alex Roytenberg CPA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1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  <w:hyperlink r:id="rId9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Chris Hladczuk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(CEO)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1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N/A</w:t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</w:t>
      </w:r>
      <w:hyperlink r:id="rId10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Alex Roytenberg CPA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POC: </w:t>
      </w:r>
      <w:hyperlink r:id="rId11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Alex Roytenberg CPA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1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AE/ Implementation Notes Sections  [Ops International Team to Ignore]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8"/>
              </w:numPr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Info on how merchant bills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8"/>
              </w:numPr>
              <w:ind w:left="144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Cycle: Quarterly; first invoice sent at activation (not signature). Any activation within a quarter → bill full quarter; occasional credits/waivers.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8"/>
              </w:numPr>
              <w:ind w:left="144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Pricing quirks: Ramps/step-ups, annual CPI % escalator, bespoke discounts/credits (e.g., $50k LOC offset).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8"/>
              </w:numPr>
              <w:ind w:left="144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Structure: Multi-entity; mgmt co often pays and reimburses funds; invoices can be consolidated or per fund.</w:t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8"/>
              </w:numPr>
              <w:ind w:left="144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Stack &amp; ops: Meow for invoicing/payments; QuickBooks via accountant; HubSpot CRM; EA executes invoices; prefer ACH/wires.</w:t>
            </w:r>
          </w:p>
          <w:p w:rsidR="00000000" w:rsidDel="00000000" w:rsidP="00000000" w:rsidRDefault="00000000" w:rsidRPr="00000000" w14:paraId="00000019">
            <w:pPr>
              <w:numPr>
                <w:ilvl w:val="1"/>
                <w:numId w:val="8"/>
              </w:numPr>
              <w:ind w:left="144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Pain points: RevRec complexity, manual activation→invoice workflow, missing CAR vs Live ARR visibility.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8"/>
              </w:numPr>
              <w:ind w:left="144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Spreadsheets related to implementation: N/A</w:t>
              <w:br w:type="textWrapping"/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8"/>
              </w:numPr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</w:t>
            </w: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What is the merchant temperament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? Eager to get started and wants to be live on 10/1. Seems very hands on.</w:t>
              <w:br w:type="textWrapping"/>
              <w:t xml:space="preserve">2) </w:t>
            </w: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Is there a key POC: (i.e.: who is the buyer/decision maker?)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 Chris Hladczuk</w:t>
              <w:br w:type="textWrapping"/>
              <w:t xml:space="preserve">3) </w:t>
            </w: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What are the Tabs features that the key POC cares about? Billing / Collections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: Contract → invoice + RevRec automation for complex/bespoke deals. Specifically: ingesting PDFs, extracting fee schedules/discounts/termination/CPI clauses, auto-building billing &amp; revenue schedules, creating/sending invoices, and reconciling payments - with manual control over first-invoice timing tied to activation/go-live.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Summary of what company does: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Hanover Park is an AI-native fund administration platform (an ERP for private-market funds) that combines fund admin, portfolio management, and a modern LP portal in one system. hanoverpark.com</w:t>
      </w:r>
    </w:p>
    <w:p w:rsidR="00000000" w:rsidDel="00000000" w:rsidP="00000000" w:rsidRDefault="00000000" w:rsidRPr="00000000" w14:paraId="00000021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They pair full-service admin with software they built themselves - incl. a custom general ledger, document extraction, and real-time reporting - to automate workflows and deliver investor-grade reporting.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25">
      <w:pPr>
        <w:rPr>
          <w:rFonts w:ascii="JetBrains Mono SemiBold" w:cs="JetBrains Mono SemiBold" w:eastAsia="JetBrains Mono SemiBold" w:hAnsi="JetBrains Mono SemiBol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?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: Contract → invoice + RevRec automation for complex/bespoke deals. Specifically: ingesting PDFs, extracting fee schedules/discounts/termination/CPI clauses, auto-building billing &amp; revenue schedules, creating/sending invoices, and reconciling payments - with manual control over first-invoice timing tied to activation/go-live.</w:t>
      </w:r>
    </w:p>
    <w:p w:rsidR="00000000" w:rsidDel="00000000" w:rsidP="00000000" w:rsidRDefault="00000000" w:rsidRPr="00000000" w14:paraId="00000027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(They also want primary ventures to be a customer of theirs)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No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/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iolhza8qea2f" w:id="10"/>
      <w:bookmarkEnd w:id="10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1. Locate BTs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Primary source:</w:t>
      </w:r>
      <w:r w:rsidDel="00000000" w:rsidR="00000000" w:rsidRPr="00000000">
        <w:rPr>
          <w:sz w:val="20"/>
          <w:szCs w:val="20"/>
          <w:rtl w:val="0"/>
        </w:rPr>
        <w:t xml:space="preserve"> Exhibit C – </w:t>
      </w:r>
      <w:r w:rsidDel="00000000" w:rsidR="00000000" w:rsidRPr="00000000">
        <w:rPr>
          <w:i w:val="1"/>
          <w:sz w:val="20"/>
          <w:szCs w:val="20"/>
          <w:rtl w:val="0"/>
        </w:rPr>
        <w:t xml:space="preserve">Fee Schedule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Supporting details:</w:t>
      </w:r>
      <w:r w:rsidDel="00000000" w:rsidR="00000000" w:rsidRPr="00000000">
        <w:rPr>
          <w:sz w:val="20"/>
          <w:szCs w:val="20"/>
          <w:rtl w:val="0"/>
        </w:rPr>
        <w:t xml:space="preserve"> Main agre ement body for effective date, payment timing, and termination; Exhibit A/B rarely impact BT setup.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Treat each </w:t>
      </w:r>
      <w:r w:rsidDel="00000000" w:rsidR="00000000" w:rsidRPr="00000000">
        <w:rPr>
          <w:b w:val="1"/>
          <w:sz w:val="20"/>
          <w:szCs w:val="20"/>
          <w:rtl w:val="0"/>
        </w:rPr>
        <w:t xml:space="preserve">entity</w:t>
      </w:r>
      <w:r w:rsidDel="00000000" w:rsidR="00000000" w:rsidRPr="00000000">
        <w:rPr>
          <w:sz w:val="20"/>
          <w:szCs w:val="20"/>
          <w:rtl w:val="0"/>
        </w:rPr>
        <w:t xml:space="preserve"> listed in Exhibit C as its own product/service 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One BT per entity per service year</w:t>
      </w:r>
      <w:r w:rsidDel="00000000" w:rsidR="00000000" w:rsidRPr="00000000">
        <w:rPr>
          <w:sz w:val="20"/>
          <w:szCs w:val="20"/>
          <w:rtl w:val="0"/>
        </w:rPr>
        <w:t xml:space="preserve">, with cadence set from contract language. Name each BT using: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Fund Services — &lt;Entity Name&gt;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multiple entities in one agreement</w:t>
      </w:r>
      <w:r w:rsidDel="00000000" w:rsidR="00000000" w:rsidRPr="00000000">
        <w:rPr>
          <w:sz w:val="20"/>
          <w:szCs w:val="20"/>
          <w:rtl w:val="0"/>
        </w:rPr>
        <w:t xml:space="preserve"> (e.g., LP + Fund I + SPV), create </w:t>
      </w:r>
      <w:r w:rsidDel="00000000" w:rsidR="00000000" w:rsidRPr="00000000">
        <w:rPr>
          <w:b w:val="1"/>
          <w:sz w:val="20"/>
          <w:szCs w:val="20"/>
          <w:rtl w:val="0"/>
        </w:rPr>
        <w:t xml:space="preserve">separate BTs</w:t>
      </w:r>
      <w:r w:rsidDel="00000000" w:rsidR="00000000" w:rsidRPr="00000000">
        <w:rPr>
          <w:sz w:val="20"/>
          <w:szCs w:val="20"/>
          <w:rtl w:val="0"/>
        </w:rPr>
        <w:t xml:space="preserve"> for each.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 agreement includes a special condition (e.g., “$0 until migration complete”)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0"/>
          <w:szCs w:val="20"/>
          <w:rtl w:val="0"/>
        </w:rPr>
        <w:t xml:space="preserve">Create the BT </w:t>
      </w:r>
      <w:r w:rsidDel="00000000" w:rsidR="00000000" w:rsidRPr="00000000">
        <w:rPr>
          <w:b w:val="1"/>
          <w:sz w:val="20"/>
          <w:szCs w:val="20"/>
          <w:rtl w:val="0"/>
        </w:rPr>
        <w:t xml:space="preserve">with $0 price</w:t>
      </w:r>
      <w:r w:rsidDel="00000000" w:rsidR="00000000" w:rsidRPr="00000000">
        <w:rPr>
          <w:sz w:val="20"/>
          <w:szCs w:val="20"/>
          <w:rtl w:val="0"/>
        </w:rPr>
        <w:t xml:space="preserve"> until the trigger date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a short note on the line item clarifying the condition.</w:t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fyg3h0rav562" w:id="11"/>
      <w:bookmarkEnd w:id="11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2. Frequency &amp; total price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Frequency: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Quarterly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in advance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 (calendar quarters)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</w:t>
      </w:r>
      <w:r w:rsidDel="00000000" w:rsidR="00000000" w:rsidRPr="00000000">
        <w:rPr>
          <w:sz w:val="20"/>
          <w:szCs w:val="20"/>
          <w:rtl w:val="0"/>
        </w:rPr>
        <w:t xml:space="preserve"> Use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annual amount per entity</w:t>
      </w:r>
      <w:r w:rsidDel="00000000" w:rsidR="00000000" w:rsidRPr="00000000">
        <w:rPr>
          <w:sz w:val="20"/>
          <w:szCs w:val="20"/>
          <w:rtl w:val="0"/>
        </w:rPr>
        <w:t xml:space="preserve"> from Exhibit C - Fee Schedule; </w:t>
      </w:r>
      <w:r w:rsidDel="00000000" w:rsidR="00000000" w:rsidRPr="00000000">
        <w:rPr>
          <w:b w:val="1"/>
          <w:sz w:val="20"/>
          <w:szCs w:val="20"/>
          <w:rtl w:val="0"/>
        </w:rPr>
        <w:t xml:space="preserve">divide by 4</w:t>
      </w:r>
      <w:r w:rsidDel="00000000" w:rsidR="00000000" w:rsidRPr="00000000">
        <w:rPr>
          <w:sz w:val="20"/>
          <w:szCs w:val="20"/>
          <w:rtl w:val="0"/>
        </w:rPr>
        <w:t xml:space="preserve"> for quarterly billing.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lists </w:t>
      </w:r>
      <w:r w:rsidDel="00000000" w:rsidR="00000000" w:rsidRPr="00000000">
        <w:rPr>
          <w:b w:val="1"/>
          <w:sz w:val="20"/>
          <w:szCs w:val="20"/>
          <w:rtl w:val="0"/>
        </w:rPr>
        <w:t xml:space="preserve">$0 until a condition is met</w:t>
      </w:r>
      <w:r w:rsidDel="00000000" w:rsidR="00000000" w:rsidRPr="00000000">
        <w:rPr>
          <w:sz w:val="20"/>
          <w:szCs w:val="20"/>
          <w:rtl w:val="0"/>
        </w:rPr>
        <w:t xml:space="preserve">, keep BT at </w:t>
      </w:r>
      <w:r w:rsidDel="00000000" w:rsidR="00000000" w:rsidRPr="00000000">
        <w:rPr>
          <w:b w:val="1"/>
          <w:sz w:val="20"/>
          <w:szCs w:val="20"/>
          <w:rtl w:val="0"/>
        </w:rPr>
        <w:t xml:space="preserve">$0</w:t>
      </w:r>
      <w:r w:rsidDel="00000000" w:rsidR="00000000" w:rsidRPr="00000000">
        <w:rPr>
          <w:sz w:val="20"/>
          <w:szCs w:val="20"/>
          <w:rtl w:val="0"/>
        </w:rPr>
        <w:t xml:space="preserve"> until a billable start.</w:t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kh9li6w5edrc" w:id="12"/>
      <w:bookmarkEnd w:id="12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3. Service Start Date: </w:t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Contracts should be billed and rev rec at the beginning of the next quarter after signing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Billing Start Date: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Contracts should be billed and rev rec at the beginning of the next quarter after signing.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If the Effective Date lands </w:t>
      </w:r>
      <w:r w:rsidDel="00000000" w:rsidR="00000000" w:rsidRPr="00000000">
        <w:rPr>
          <w:b w:val="1"/>
          <w:sz w:val="20"/>
          <w:szCs w:val="20"/>
          <w:rtl w:val="0"/>
        </w:rPr>
        <w:t xml:space="preserve">mid‑quarter</w:t>
      </w:r>
      <w:r w:rsidDel="00000000" w:rsidR="00000000" w:rsidRPr="00000000">
        <w:rPr>
          <w:sz w:val="20"/>
          <w:szCs w:val="20"/>
          <w:rtl w:val="0"/>
        </w:rPr>
        <w:t xml:space="preserve">, create a </w:t>
      </w:r>
      <w:r w:rsidDel="00000000" w:rsidR="00000000" w:rsidRPr="00000000">
        <w:rPr>
          <w:b w:val="1"/>
          <w:sz w:val="20"/>
          <w:szCs w:val="20"/>
          <w:rtl w:val="0"/>
        </w:rPr>
        <w:t xml:space="preserve">stub BT</w:t>
      </w:r>
      <w:r w:rsidDel="00000000" w:rsidR="00000000" w:rsidRPr="00000000">
        <w:rPr>
          <w:sz w:val="20"/>
          <w:szCs w:val="20"/>
          <w:rtl w:val="0"/>
        </w:rPr>
        <w:t xml:space="preserve"> from Effective Date to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next calendar‑quarter start</w:t>
      </w:r>
      <w:r w:rsidDel="00000000" w:rsidR="00000000" w:rsidRPr="00000000">
        <w:rPr>
          <w:sz w:val="20"/>
          <w:szCs w:val="20"/>
          <w:rtl w:val="0"/>
        </w:rPr>
        <w:t xml:space="preserve"> (e.g., Jun 3 → Jul 1), then start regular quarterly cadence on the quarter boundary. Price the stub </w:t>
      </w:r>
      <w:r w:rsidDel="00000000" w:rsidR="00000000" w:rsidRPr="00000000">
        <w:rPr>
          <w:b w:val="1"/>
          <w:sz w:val="20"/>
          <w:szCs w:val="20"/>
          <w:rtl w:val="0"/>
        </w:rPr>
        <w:t xml:space="preserve">pro rata</w:t>
      </w:r>
      <w:r w:rsidDel="00000000" w:rsidR="00000000" w:rsidRPr="00000000">
        <w:rPr>
          <w:sz w:val="20"/>
          <w:szCs w:val="20"/>
          <w:rtl w:val="0"/>
        </w:rPr>
        <w:t xml:space="preserve"> based on standard quarterly fee unless the Fee Schedule already provides an explicit stub amount.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Months of Service: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Merchant auto renews so default months of service can be 120 months (10 years)</w:t>
      </w:r>
    </w:p>
    <w:p w:rsidR="00000000" w:rsidDel="00000000" w:rsidP="00000000" w:rsidRDefault="00000000" w:rsidRPr="00000000" w14:paraId="00000044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Service does not end until written notice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1w2lnep5wyen" w:id="13"/>
      <w:bookmarkEnd w:id="13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6. Net terms: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30 days</w:t>
      </w:r>
      <w:r w:rsidDel="00000000" w:rsidR="00000000" w:rsidRPr="00000000">
        <w:rPr>
          <w:sz w:val="20"/>
          <w:szCs w:val="20"/>
          <w:rtl w:val="0"/>
        </w:rPr>
        <w:t xml:space="preserve"> unless the contract specifies otherwise.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 advance vs. arrears:</w:t>
      </w:r>
      <w:r w:rsidDel="00000000" w:rsidR="00000000" w:rsidRPr="00000000">
        <w:rPr>
          <w:sz w:val="20"/>
          <w:szCs w:val="20"/>
          <w:rtl w:val="0"/>
        </w:rPr>
        <w:t xml:space="preserve"> Set </w:t>
      </w:r>
      <w:r w:rsidDel="00000000" w:rsidR="00000000" w:rsidRPr="00000000">
        <w:rPr>
          <w:b w:val="1"/>
          <w:sz w:val="20"/>
          <w:szCs w:val="20"/>
          <w:rtl w:val="0"/>
        </w:rPr>
        <w:t xml:space="preserve">isArrears = false</w:t>
      </w:r>
      <w:r w:rsidDel="00000000" w:rsidR="00000000" w:rsidRPr="00000000">
        <w:rPr>
          <w:sz w:val="20"/>
          <w:szCs w:val="20"/>
          <w:rtl w:val="0"/>
        </w:rPr>
        <w:t xml:space="preserve"> for quarterly advance billing; any true “usage/overage” items should be ignored for these agreements</w:t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y3zpbs6hmgis" w:id="14"/>
      <w:bookmarkEnd w:id="14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7. Item name: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188038"/>
          <w:sz w:val="20"/>
          <w:szCs w:val="20"/>
          <w:rtl w:val="0"/>
        </w:rPr>
        <w:t xml:space="preserve">Fund Services</w:t>
      </w:r>
      <w:r w:rsidDel="00000000" w:rsidR="00000000" w:rsidRPr="00000000">
        <w:rPr>
          <w:sz w:val="20"/>
          <w:szCs w:val="20"/>
          <w:rtl w:val="0"/>
        </w:rPr>
        <w:t xml:space="preserve"> (append the entity for clarity, e.g., “Fund Services — Vesey Ventures Fund I LP”).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tkb3zz6mxkct" w:id="15"/>
      <w:bookmarkEnd w:id="15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8. Description: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Optional; if helpful, include the billing cadence (e.g., “Quarterly in advance; annual fee $49,000”).</w:t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pacing w:after="80" w:before="360" w:lineRule="auto"/>
        <w:rPr/>
      </w:pPr>
      <w:bookmarkStart w:colFirst="0" w:colLast="0" w:name="_tpe8fkbnlyga" w:id="16"/>
      <w:bookmarkEnd w:id="16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9. Quantity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</w:t>
      </w:r>
      <w:r w:rsidDel="00000000" w:rsidR="00000000" w:rsidRPr="00000000">
        <w:rPr>
          <w:b w:val="1"/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unless the contract lists a different explicit quantity.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Frequency:</w:t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Quarterly in advance </w:t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w3zlhvjwg48s" w:id="17"/>
      <w:bookmarkEnd w:id="17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11. Handling pricing changes / escalators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agreement includes an </w:t>
      </w:r>
      <w:r w:rsidDel="00000000" w:rsidR="00000000" w:rsidRPr="00000000">
        <w:rPr>
          <w:b w:val="1"/>
          <w:sz w:val="20"/>
          <w:szCs w:val="20"/>
          <w:rtl w:val="0"/>
        </w:rPr>
        <w:t xml:space="preserve">annual fee escalator</w:t>
      </w:r>
      <w:r w:rsidDel="00000000" w:rsidR="00000000" w:rsidRPr="00000000">
        <w:rPr>
          <w:sz w:val="20"/>
          <w:szCs w:val="20"/>
          <w:rtl w:val="0"/>
        </w:rPr>
        <w:t xml:space="preserve"> (e.g., CPI or 3% floor), </w:t>
      </w:r>
      <w:r w:rsidDel="00000000" w:rsidR="00000000" w:rsidRPr="00000000">
        <w:rPr>
          <w:b w:val="1"/>
          <w:sz w:val="20"/>
          <w:szCs w:val="20"/>
          <w:rtl w:val="0"/>
        </w:rPr>
        <w:t xml:space="preserve">do not create separate BTs</w:t>
      </w:r>
      <w:r w:rsidDel="00000000" w:rsidR="00000000" w:rsidRPr="00000000">
        <w:rPr>
          <w:sz w:val="20"/>
          <w:szCs w:val="20"/>
          <w:rtl w:val="0"/>
        </w:rPr>
        <w:t xml:space="preserve">. Keep a </w:t>
      </w:r>
      <w:r w:rsidDel="00000000" w:rsidR="00000000" w:rsidRPr="00000000">
        <w:rPr>
          <w:b w:val="1"/>
          <w:sz w:val="20"/>
          <w:szCs w:val="20"/>
          <w:rtl w:val="0"/>
        </w:rPr>
        <w:t xml:space="preserve">single recurring BT</w:t>
      </w:r>
      <w:r w:rsidDel="00000000" w:rsidR="00000000" w:rsidRPr="00000000">
        <w:rPr>
          <w:sz w:val="20"/>
          <w:szCs w:val="20"/>
          <w:rtl w:val="0"/>
        </w:rPr>
        <w:t xml:space="preserve"> and add a </w:t>
      </w:r>
      <w:r w:rsidDel="00000000" w:rsidR="00000000" w:rsidRPr="00000000">
        <w:rPr>
          <w:b w:val="1"/>
          <w:sz w:val="20"/>
          <w:szCs w:val="20"/>
          <w:rtl w:val="0"/>
        </w:rPr>
        <w:t xml:space="preserve">note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4"/>
          <w:szCs w:val="24"/>
        </w:rPr>
      </w:pPr>
      <w:bookmarkStart w:colFirst="0" w:colLast="0" w:name="_lu8rah610tvh" w:id="18"/>
      <w:bookmarkEnd w:id="18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12. Amendments: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you see an </w:t>
      </w:r>
      <w:r w:rsidDel="00000000" w:rsidR="00000000" w:rsidRPr="00000000">
        <w:rPr>
          <w:b w:val="1"/>
          <w:rtl w:val="0"/>
        </w:rPr>
        <w:t xml:space="preserve">amendment</w:t>
      </w:r>
      <w:r w:rsidDel="00000000" w:rsidR="00000000" w:rsidRPr="00000000">
        <w:rPr>
          <w:rtl w:val="0"/>
        </w:rPr>
        <w:t xml:space="preserve"> changing fees or cadence: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End‑date</w:t>
      </w:r>
      <w:r w:rsidDel="00000000" w:rsidR="00000000" w:rsidRPr="00000000">
        <w:rPr>
          <w:sz w:val="20"/>
          <w:szCs w:val="20"/>
          <w:rtl w:val="0"/>
        </w:rPr>
        <w:t xml:space="preserve"> the prior BT the day </w:t>
      </w:r>
      <w:r w:rsidDel="00000000" w:rsidR="00000000" w:rsidRPr="00000000">
        <w:rPr>
          <w:b w:val="1"/>
          <w:sz w:val="20"/>
          <w:szCs w:val="20"/>
          <w:rtl w:val="0"/>
        </w:rPr>
        <w:t xml:space="preserve">before</w:t>
      </w:r>
      <w:r w:rsidDel="00000000" w:rsidR="00000000" w:rsidRPr="00000000">
        <w:rPr>
          <w:sz w:val="20"/>
          <w:szCs w:val="20"/>
          <w:rtl w:val="0"/>
        </w:rPr>
        <w:t xml:space="preserve"> the amendment takes effect.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</w:t>
      </w:r>
      <w:r w:rsidDel="00000000" w:rsidR="00000000" w:rsidRPr="00000000">
        <w:rPr>
          <w:b w:val="1"/>
          <w:sz w:val="20"/>
          <w:szCs w:val="20"/>
          <w:rtl w:val="0"/>
        </w:rPr>
        <w:t xml:space="preserve">new BTs</w:t>
      </w:r>
      <w:r w:rsidDel="00000000" w:rsidR="00000000" w:rsidRPr="00000000">
        <w:rPr>
          <w:sz w:val="20"/>
          <w:szCs w:val="20"/>
          <w:rtl w:val="0"/>
        </w:rPr>
        <w:t xml:space="preserve"> for each affected entity starting on the amendment effective 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before="360" w:lineRule="auto"/>
        <w:rPr>
          <w:sz w:val="18"/>
          <w:szCs w:val="18"/>
        </w:rPr>
      </w:pPr>
      <w:bookmarkStart w:colFirst="0" w:colLast="0" w:name="_ydujxb3oy6mp" w:id="19"/>
      <w:bookmarkEnd w:id="19"/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13. Ignore: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7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tax language.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sz w:val="20"/>
          <w:szCs w:val="20"/>
        </w:rPr>
      </w:pPr>
      <w:bookmarkStart w:colFirst="0" w:colLast="0" w:name="_32907kxgf70j" w:id="20"/>
      <w:bookmarkEnd w:id="20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5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E">
      <w:pPr>
        <w:numPr>
          <w:ilvl w:val="0"/>
          <w:numId w:val="1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F">
      <w:pPr>
        <w:numPr>
          <w:ilvl w:val="0"/>
          <w:numId w:val="1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6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6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5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6">
      <w:pPr>
        <w:numPr>
          <w:ilvl w:val="2"/>
          <w:numId w:val="11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7">
      <w:pPr>
        <w:numPr>
          <w:ilvl w:val="2"/>
          <w:numId w:val="11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8">
      <w:pPr>
        <w:numPr>
          <w:ilvl w:val="2"/>
          <w:numId w:val="11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9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>
          <w:sz w:val="20"/>
          <w:szCs w:val="20"/>
        </w:rPr>
      </w:pPr>
      <w:bookmarkStart w:colFirst="0" w:colLast="0" w:name="_niouzto9de6n" w:id="21"/>
      <w:bookmarkEnd w:id="21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6B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C">
      <w:pPr>
        <w:numPr>
          <w:ilvl w:val="1"/>
          <w:numId w:val="1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D">
      <w:pPr>
        <w:numPr>
          <w:ilvl w:val="1"/>
          <w:numId w:val="1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E">
      <w:pPr>
        <w:pStyle w:val="Heading3"/>
        <w:rPr>
          <w:sz w:val="20"/>
          <w:szCs w:val="20"/>
        </w:rPr>
      </w:pPr>
      <w:bookmarkStart w:colFirst="0" w:colLast="0" w:name="_htt28tqxjcgm" w:id="22"/>
      <w:bookmarkEnd w:id="22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71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72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7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>
          <w:sz w:val="20"/>
          <w:szCs w:val="20"/>
        </w:rPr>
      </w:pPr>
      <w:bookmarkStart w:colFirst="0" w:colLast="0" w:name="_oykkd54hcc96" w:id="23"/>
      <w:bookmarkEnd w:id="23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tax@alexroytenberg.com" TargetMode="External"/><Relationship Id="rId10" Type="http://schemas.openxmlformats.org/officeDocument/2006/relationships/hyperlink" Target="mailto:tax@alexroytenberg.com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chris@hanoverpark.com" TargetMode="External"/><Relationship Id="rId5" Type="http://schemas.openxmlformats.org/officeDocument/2006/relationships/styles" Target="styles.xml"/><Relationship Id="rId6" Type="http://schemas.openxmlformats.org/officeDocument/2006/relationships/hyperlink" Target="mailto:cory@tabsplatform.com" TargetMode="External"/><Relationship Id="rId7" Type="http://schemas.openxmlformats.org/officeDocument/2006/relationships/hyperlink" Target="mailto:samj@tabsplatform.com" TargetMode="External"/><Relationship Id="rId8" Type="http://schemas.openxmlformats.org/officeDocument/2006/relationships/hyperlink" Target="mailto:tax@alexroytenberg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InterExtraBold-boldItalic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9" Type="http://schemas.openxmlformats.org/officeDocument/2006/relationships/font" Target="fonts/InterExtraBold-bold.ttf"/><Relationship Id="rId14" Type="http://schemas.openxmlformats.org/officeDocument/2006/relationships/font" Target="fonts/RobotoMono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