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JetBrains Mono SemiBold" w:cs="JetBrains Mono SemiBold" w:eastAsia="JetBrains Mono SemiBold" w:hAnsi="JetBrains Mono SemiBold"/>
          <w:i w:val="1"/>
          <w:color w:val="666666"/>
          <w:sz w:val="16"/>
          <w:szCs w:val="16"/>
        </w:rPr>
      </w:pPr>
      <w:bookmarkStart w:colFirst="0" w:colLast="0" w:name="_kpy0upq2lmk1" w:id="0"/>
      <w:bookmarkEnd w:id="0"/>
      <w:r w:rsidDel="00000000" w:rsidR="00000000" w:rsidRPr="00000000">
        <w:rPr>
          <w:sz w:val="20"/>
          <w:szCs w:val="20"/>
          <w:rtl w:val="0"/>
        </w:rPr>
        <w:br w:type="textWrapping"/>
      </w:r>
      <w:r w:rsidDel="00000000" w:rsidR="00000000" w:rsidRPr="00000000">
        <w:rPr>
          <w:sz w:val="20"/>
          <w:szCs w:val="20"/>
          <w:rtl w:val="0"/>
        </w:rPr>
        <w:t xml:space="preserve">Merchant </w:t>
      </w:r>
      <w:r w:rsidDel="00000000" w:rsidR="00000000" w:rsidRPr="00000000">
        <w:rPr>
          <w:sz w:val="20"/>
          <w:szCs w:val="20"/>
          <w:rtl w:val="0"/>
        </w:rPr>
        <w:t xml:space="preserve">Name: </w:t>
      </w:r>
      <w:r w:rsidDel="00000000" w:rsidR="00000000" w:rsidRPr="00000000">
        <w:rPr>
          <w:color w:val="000000"/>
          <w:sz w:val="30"/>
          <w:szCs w:val="30"/>
          <w:rtl w:val="0"/>
        </w:rPr>
        <w:t xml:space="preserve">Astranis</w:t>
      </w:r>
      <w:r w:rsidDel="00000000" w:rsidR="00000000" w:rsidRPr="00000000">
        <w:rPr>
          <w:sz w:val="20"/>
          <w:szCs w:val="20"/>
          <w:rtl w:val="0"/>
        </w:rPr>
        <w:br w:type="textWrapping"/>
      </w:r>
      <w:r w:rsidDel="00000000" w:rsidR="00000000" w:rsidRPr="00000000">
        <w:rPr>
          <w:sz w:val="20"/>
          <w:szCs w:val="20"/>
          <w:rtl w:val="0"/>
        </w:rPr>
        <w:br w:type="textWrapping"/>
        <w:t xml:space="preserve">Implementation POC: </w:t>
      </w:r>
      <w:sdt>
        <w:sdtPr>
          <w:alias w:val="Stage"/>
          <w:id w:val="2006528054"/>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sz w:val="20"/>
          <w:szCs w:val="20"/>
          <w:rtl w:val="0"/>
        </w:rPr>
        <w:t xml:space="preserve"> </w:t>
      </w:r>
      <w:r w:rsidDel="00000000" w:rsidR="00000000" w:rsidRPr="00000000">
        <w:rPr>
          <w:rFonts w:ascii="JetBrains Mono SemiBold" w:cs="JetBrains Mono SemiBold" w:eastAsia="JetBrains Mono SemiBold" w:hAnsi="JetBrains Mono SemiBold"/>
          <w:i w:val="1"/>
          <w:color w:val="666666"/>
          <w:sz w:val="16"/>
          <w:szCs w:val="16"/>
          <w:rtl w:val="0"/>
        </w:rPr>
        <w:t xml:space="preserve">(IM to fill) </w:t>
      </w:r>
      <w:r w:rsidDel="00000000" w:rsidR="00000000" w:rsidRPr="00000000">
        <w:rPr>
          <w:sz w:val="20"/>
          <w:szCs w:val="20"/>
          <w:rtl w:val="0"/>
        </w:rPr>
        <w:br w:type="textWrapping"/>
        <w:t xml:space="preserve">CX POC:</w:t>
      </w:r>
      <w:r w:rsidDel="00000000" w:rsidR="00000000" w:rsidRPr="00000000">
        <w:rPr>
          <w:rFonts w:ascii="JetBrains Mono SemiBold" w:cs="JetBrains Mono SemiBold" w:eastAsia="JetBrains Mono SemiBold" w:hAnsi="JetBrains Mono SemiBold"/>
          <w:i w:val="1"/>
          <w:color w:val="666666"/>
          <w:sz w:val="16"/>
          <w:szCs w:val="16"/>
          <w:rtl w:val="0"/>
        </w:rPr>
        <w:t xml:space="preserve"> [IMP to Add]</w:t>
      </w:r>
      <w:r w:rsidDel="00000000" w:rsidR="00000000" w:rsidRPr="00000000">
        <w:rPr>
          <w:rtl w:val="0"/>
        </w:rPr>
      </w:r>
    </w:p>
    <w:p w:rsidR="00000000" w:rsidDel="00000000" w:rsidP="00000000" w:rsidRDefault="00000000" w:rsidRPr="00000000" w14:paraId="00000002">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3">
      <w:pPr>
        <w:pStyle w:val="Heading3"/>
        <w:keepNext w:val="0"/>
        <w:keepLines w:val="0"/>
        <w:spacing w:after="0" w:before="0" w:lineRule="auto"/>
        <w:rPr>
          <w:rFonts w:ascii="Inter" w:cs="Inter" w:eastAsia="Inter" w:hAnsi="Inter"/>
          <w:sz w:val="20"/>
          <w:szCs w:val="20"/>
        </w:rPr>
      </w:pPr>
      <w:bookmarkStart w:colFirst="0" w:colLast="0" w:name="_r1ekv9n5mo4i" w:id="2"/>
      <w:bookmarkEnd w:id="2"/>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b w:val="1"/>
                <w:i w:val="1"/>
                <w:color w:val="666666"/>
                <w:sz w:val="16"/>
                <w:szCs w:val="16"/>
                <w:highlight w:val="white"/>
              </w:rPr>
            </w:pPr>
            <w:r w:rsidDel="00000000" w:rsidR="00000000" w:rsidRPr="00000000">
              <w:rPr>
                <w:rFonts w:ascii="JetBrains Mono SemiBold" w:cs="JetBrains Mono SemiBold" w:eastAsia="JetBrains Mono SemiBold" w:hAnsi="JetBrains Mono SemiBold"/>
                <w:sz w:val="20"/>
                <w:szCs w:val="20"/>
                <w:rtl w:val="0"/>
              </w:rPr>
              <w:t xml:space="preserve">Notes Sections </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 (AE to fill if they have, Implementation to be completion DRI on handoff)</w:t>
            </w:r>
            <w:r w:rsidDel="00000000" w:rsidR="00000000" w:rsidRPr="00000000">
              <w:rPr>
                <w:rtl w:val="0"/>
              </w:rPr>
            </w:r>
          </w:p>
          <w:p w:rsidR="00000000" w:rsidDel="00000000" w:rsidP="00000000" w:rsidRDefault="00000000" w:rsidRPr="00000000" w14:paraId="00000005">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06">
            <w:pPr>
              <w:numPr>
                <w:ilvl w:val="0"/>
                <w:numId w:val="3"/>
              </w:numPr>
              <w:ind w:left="720" w:hanging="360"/>
              <w:rPr>
                <w:sz w:val="20"/>
                <w:szCs w:val="20"/>
                <w:shd w:fill="d9ead3" w:val="clear"/>
              </w:rPr>
            </w:pPr>
            <w:r w:rsidDel="00000000" w:rsidR="00000000" w:rsidRPr="00000000">
              <w:rPr>
                <w:sz w:val="20"/>
                <w:szCs w:val="20"/>
                <w:shd w:fill="d9ead3" w:val="clear"/>
                <w:rtl w:val="0"/>
              </w:rPr>
              <w:t xml:space="preserve">Info on how merchant bills</w:t>
            </w:r>
            <w:r w:rsidDel="00000000" w:rsidR="00000000" w:rsidRPr="00000000">
              <w:rPr>
                <w:rtl w:val="0"/>
              </w:rPr>
            </w:r>
          </w:p>
          <w:p w:rsidR="00000000" w:rsidDel="00000000" w:rsidP="00000000" w:rsidRDefault="00000000" w:rsidRPr="00000000" w14:paraId="00000007">
            <w:pPr>
              <w:ind w:left="0" w:firstLine="0"/>
              <w:rPr>
                <w:sz w:val="20"/>
                <w:szCs w:val="20"/>
              </w:rPr>
            </w:pPr>
            <w:r w:rsidDel="00000000" w:rsidR="00000000" w:rsidRPr="00000000">
              <w:rPr>
                <w:sz w:val="20"/>
                <w:szCs w:val="20"/>
                <w:rtl w:val="0"/>
              </w:rPr>
              <w:t xml:space="preserve">Astranis’ billing process is recurring billing, sometimes milestone-driven rather than high-volume subscription or usage billing.</w:t>
            </w:r>
          </w:p>
          <w:p w:rsidR="00000000" w:rsidDel="00000000" w:rsidP="00000000" w:rsidRDefault="00000000" w:rsidRPr="00000000" w14:paraId="00000008">
            <w:pPr>
              <w:ind w:left="0" w:firstLine="0"/>
              <w:rPr>
                <w:sz w:val="20"/>
                <w:szCs w:val="20"/>
              </w:rPr>
            </w:pPr>
            <w:r w:rsidDel="00000000" w:rsidR="00000000" w:rsidRPr="00000000">
              <w:rPr>
                <w:rtl w:val="0"/>
              </w:rPr>
            </w:r>
          </w:p>
          <w:p w:rsidR="00000000" w:rsidDel="00000000" w:rsidP="00000000" w:rsidRDefault="00000000" w:rsidRPr="00000000" w14:paraId="00000009">
            <w:pPr>
              <w:ind w:left="0" w:firstLine="0"/>
              <w:rPr>
                <w:sz w:val="20"/>
                <w:szCs w:val="20"/>
              </w:rPr>
            </w:pPr>
            <w:r w:rsidDel="00000000" w:rsidR="00000000" w:rsidRPr="00000000">
              <w:rPr>
                <w:sz w:val="20"/>
                <w:szCs w:val="20"/>
                <w:rtl w:val="0"/>
              </w:rPr>
              <w:t xml:space="preserve">1 contract = 1 satellite - each engagement is a large, bespoke deliverable.</w:t>
            </w:r>
          </w:p>
          <w:p w:rsidR="00000000" w:rsidDel="00000000" w:rsidP="00000000" w:rsidRDefault="00000000" w:rsidRPr="00000000" w14:paraId="0000000A">
            <w:pPr>
              <w:ind w:left="0" w:firstLine="0"/>
              <w:rPr>
                <w:sz w:val="20"/>
                <w:szCs w:val="20"/>
              </w:rPr>
            </w:pPr>
            <w:r w:rsidDel="00000000" w:rsidR="00000000" w:rsidRPr="00000000">
              <w:rPr>
                <w:rtl w:val="0"/>
              </w:rPr>
            </w:r>
          </w:p>
          <w:p w:rsidR="00000000" w:rsidDel="00000000" w:rsidP="00000000" w:rsidRDefault="00000000" w:rsidRPr="00000000" w14:paraId="0000000B">
            <w:pPr>
              <w:ind w:left="0" w:firstLine="0"/>
              <w:rPr>
                <w:sz w:val="20"/>
                <w:szCs w:val="20"/>
              </w:rPr>
            </w:pPr>
            <w:r w:rsidDel="00000000" w:rsidR="00000000" w:rsidRPr="00000000">
              <w:rPr>
                <w:sz w:val="20"/>
                <w:szCs w:val="20"/>
                <w:rtl w:val="0"/>
              </w:rPr>
              <w:t xml:space="preserve">They don’t have standard seasonality or a high transaction volume; success is measured in a small number of annual contracts (e.g., “if we do 12 contracts a year, we’ll be flying”).</w:t>
            </w:r>
          </w:p>
          <w:p w:rsidR="00000000" w:rsidDel="00000000" w:rsidP="00000000" w:rsidRDefault="00000000" w:rsidRPr="00000000" w14:paraId="0000000C">
            <w:pPr>
              <w:ind w:left="0" w:firstLine="0"/>
              <w:rPr>
                <w:sz w:val="20"/>
                <w:szCs w:val="20"/>
              </w:rPr>
            </w:pPr>
            <w:r w:rsidDel="00000000" w:rsidR="00000000" w:rsidRPr="00000000">
              <w:rPr>
                <w:rtl w:val="0"/>
              </w:rPr>
            </w:r>
          </w:p>
          <w:p w:rsidR="00000000" w:rsidDel="00000000" w:rsidP="00000000" w:rsidRDefault="00000000" w:rsidRPr="00000000" w14:paraId="0000000D">
            <w:pPr>
              <w:ind w:left="0" w:firstLine="0"/>
              <w:rPr>
                <w:sz w:val="20"/>
                <w:szCs w:val="20"/>
              </w:rPr>
            </w:pPr>
            <w:r w:rsidDel="00000000" w:rsidR="00000000" w:rsidRPr="00000000">
              <w:rPr>
                <w:sz w:val="20"/>
                <w:szCs w:val="20"/>
                <w:rtl w:val="0"/>
              </w:rPr>
              <w:t xml:space="preserve">Their revenue recognition model (as discussed with Marshall) often books invoicing to deferred revenue first, then reclasses monthly as revenue is recognized.</w:t>
            </w:r>
          </w:p>
          <w:p w:rsidR="00000000" w:rsidDel="00000000" w:rsidP="00000000" w:rsidRDefault="00000000" w:rsidRPr="00000000" w14:paraId="0000000E">
            <w:pPr>
              <w:ind w:left="0" w:firstLine="0"/>
              <w:rPr>
                <w:sz w:val="20"/>
                <w:szCs w:val="20"/>
              </w:rPr>
            </w:pPr>
            <w:r w:rsidDel="00000000" w:rsidR="00000000" w:rsidRPr="00000000">
              <w:rPr>
                <w:rtl w:val="0"/>
              </w:rPr>
            </w:r>
          </w:p>
          <w:p w:rsidR="00000000" w:rsidDel="00000000" w:rsidP="00000000" w:rsidRDefault="00000000" w:rsidRPr="00000000" w14:paraId="0000000F">
            <w:pPr>
              <w:ind w:left="0" w:firstLine="0"/>
              <w:rPr>
                <w:sz w:val="20"/>
                <w:szCs w:val="20"/>
              </w:rPr>
            </w:pPr>
            <w:r w:rsidDel="00000000" w:rsidR="00000000" w:rsidRPr="00000000">
              <w:rPr>
                <w:sz w:val="20"/>
                <w:szCs w:val="20"/>
                <w:rtl w:val="0"/>
              </w:rPr>
              <w:t xml:space="preserve">Given the long build cycle for satellites (12–24 months), billing is often tied to milestones such as build phases, delivery, or service commencement, rather than a recurring monthly cadence.</w:t>
            </w:r>
          </w:p>
          <w:p w:rsidR="00000000" w:rsidDel="00000000" w:rsidP="00000000" w:rsidRDefault="00000000" w:rsidRPr="00000000" w14:paraId="00000010">
            <w:pPr>
              <w:ind w:left="0" w:firstLine="0"/>
              <w:rPr>
                <w:sz w:val="20"/>
                <w:szCs w:val="20"/>
              </w:rPr>
            </w:pPr>
            <w:r w:rsidDel="00000000" w:rsidR="00000000" w:rsidRPr="00000000">
              <w:rPr>
                <w:rtl w:val="0"/>
              </w:rPr>
            </w:r>
          </w:p>
          <w:p w:rsidR="00000000" w:rsidDel="00000000" w:rsidP="00000000" w:rsidRDefault="00000000" w:rsidRPr="00000000" w14:paraId="00000011">
            <w:pPr>
              <w:ind w:left="0" w:firstLine="0"/>
              <w:rPr>
                <w:sz w:val="20"/>
                <w:szCs w:val="20"/>
              </w:rPr>
            </w:pPr>
            <w:r w:rsidDel="00000000" w:rsidR="00000000" w:rsidRPr="00000000">
              <w:rPr>
                <w:rtl w:val="0"/>
              </w:rPr>
            </w:r>
          </w:p>
          <w:p w:rsidR="00000000" w:rsidDel="00000000" w:rsidP="00000000" w:rsidRDefault="00000000" w:rsidRPr="00000000" w14:paraId="00000012">
            <w:pPr>
              <w:ind w:left="720" w:firstLine="0"/>
              <w:rPr>
                <w:strike w:val="1"/>
                <w:sz w:val="20"/>
                <w:szCs w:val="20"/>
                <w:shd w:fill="d9ead3" w:val="clear"/>
              </w:rPr>
            </w:pPr>
            <w:r w:rsidDel="00000000" w:rsidR="00000000" w:rsidRPr="00000000">
              <w:rPr>
                <w:sz w:val="20"/>
                <w:szCs w:val="20"/>
                <w:shd w:fill="d9ead3" w:val="clear"/>
                <w:rtl w:val="0"/>
              </w:rPr>
              <w:t xml:space="preserve">1) What is the merchant temperament? </w:t>
            </w:r>
            <w:r w:rsidDel="00000000" w:rsidR="00000000" w:rsidRPr="00000000">
              <w:rPr>
                <w:rtl w:val="0"/>
              </w:rPr>
            </w:r>
          </w:p>
          <w:p w:rsidR="00000000" w:rsidDel="00000000" w:rsidP="00000000" w:rsidRDefault="00000000" w:rsidRPr="00000000" w14:paraId="00000013">
            <w:pPr>
              <w:ind w:left="0" w:firstLine="0"/>
              <w:rPr>
                <w:sz w:val="20"/>
                <w:szCs w:val="20"/>
              </w:rPr>
            </w:pPr>
            <w:r w:rsidDel="00000000" w:rsidR="00000000" w:rsidRPr="00000000">
              <w:rPr>
                <w:sz w:val="20"/>
                <w:szCs w:val="20"/>
                <w:rtl w:val="0"/>
              </w:rPr>
              <w:t xml:space="preserve">Astranis’ temperament was </w:t>
            </w:r>
            <w:r w:rsidDel="00000000" w:rsidR="00000000" w:rsidRPr="00000000">
              <w:rPr>
                <w:b w:val="1"/>
                <w:sz w:val="20"/>
                <w:szCs w:val="20"/>
                <w:rtl w:val="0"/>
              </w:rPr>
              <w:t xml:space="preserve">engaged, curious, and collaborative</w:t>
            </w:r>
            <w:r w:rsidDel="00000000" w:rsidR="00000000" w:rsidRPr="00000000">
              <w:rPr>
                <w:sz w:val="20"/>
                <w:szCs w:val="20"/>
                <w:rtl w:val="0"/>
              </w:rPr>
              <w:t xml:space="preserve">. They were consistently open in sharing context, quick to give feedback, and willing to dive into technical details with our team. They came across as thoughtful and methodical—asking good questions, seeking to fully understand our workflows and capabilities—while maintaining a friendly, personable tone throughout. Even when dealing with complex or nuanced topics, their approach was constructive and solutions-oriented.</w:t>
            </w:r>
          </w:p>
          <w:p w:rsidR="00000000" w:rsidDel="00000000" w:rsidP="00000000" w:rsidRDefault="00000000" w:rsidRPr="00000000" w14:paraId="00000014">
            <w:pPr>
              <w:ind w:left="720" w:firstLine="0"/>
              <w:rPr>
                <w:sz w:val="20"/>
                <w:szCs w:val="20"/>
              </w:rPr>
            </w:pPr>
            <w:r w:rsidDel="00000000" w:rsidR="00000000" w:rsidRPr="00000000">
              <w:rPr>
                <w:sz w:val="20"/>
                <w:szCs w:val="20"/>
                <w:shd w:fill="d9ead3" w:val="clear"/>
                <w:rtl w:val="0"/>
              </w:rPr>
              <w:br w:type="textWrapping"/>
            </w:r>
            <w:r w:rsidDel="00000000" w:rsidR="00000000" w:rsidRPr="00000000">
              <w:rPr>
                <w:sz w:val="20"/>
                <w:szCs w:val="20"/>
                <w:shd w:fill="d9ead3" w:val="clear"/>
                <w:rtl w:val="0"/>
              </w:rPr>
              <w:t xml:space="preserve">3) What are the Tabs features that the key POC cares about? </w:t>
            </w:r>
            <w:r w:rsidDel="00000000" w:rsidR="00000000" w:rsidRPr="00000000">
              <w:rPr>
                <w:rtl w:val="0"/>
              </w:rPr>
            </w:r>
          </w:p>
          <w:p w:rsidR="00000000" w:rsidDel="00000000" w:rsidP="00000000" w:rsidRDefault="00000000" w:rsidRPr="00000000" w14:paraId="00000015">
            <w:pPr>
              <w:widowControl w:val="0"/>
              <w:numPr>
                <w:ilvl w:val="0"/>
                <w:numId w:val="1"/>
              </w:numPr>
              <w:spacing w:after="0" w:afterAutospacing="0" w:before="240" w:line="240" w:lineRule="auto"/>
              <w:ind w:left="720" w:hanging="360"/>
              <w:rPr>
                <w:sz w:val="20"/>
                <w:szCs w:val="20"/>
              </w:rPr>
            </w:pPr>
            <w:r w:rsidDel="00000000" w:rsidR="00000000" w:rsidRPr="00000000">
              <w:rPr>
                <w:b w:val="1"/>
                <w:sz w:val="20"/>
                <w:szCs w:val="20"/>
                <w:rtl w:val="0"/>
              </w:rPr>
              <w:t xml:space="preserve">Automated invoice generation</w:t>
            </w:r>
            <w:r w:rsidDel="00000000" w:rsidR="00000000" w:rsidRPr="00000000">
              <w:rPr>
                <w:sz w:val="20"/>
                <w:szCs w:val="20"/>
                <w:rtl w:val="0"/>
              </w:rPr>
              <w:t xml:space="preserve"> - They want invoices to flow cleanly through a single deferred revenue (or revenue clearing) account, with flexibility to post directly to revenue if needed.</w:t>
              <w:br w:type="textWrapping"/>
            </w:r>
          </w:p>
          <w:p w:rsidR="00000000" w:rsidDel="00000000" w:rsidP="00000000" w:rsidRDefault="00000000" w:rsidRPr="00000000" w14:paraId="00000016">
            <w:pPr>
              <w:widowControl w:val="0"/>
              <w:numPr>
                <w:ilvl w:val="0"/>
                <w:numId w:val="1"/>
              </w:numPr>
              <w:spacing w:after="0" w:afterAutospacing="0" w:before="0" w:beforeAutospacing="0" w:line="240" w:lineRule="auto"/>
              <w:ind w:left="720" w:hanging="360"/>
              <w:rPr>
                <w:sz w:val="20"/>
                <w:szCs w:val="20"/>
              </w:rPr>
            </w:pPr>
            <w:r w:rsidDel="00000000" w:rsidR="00000000" w:rsidRPr="00000000">
              <w:rPr>
                <w:b w:val="1"/>
                <w:sz w:val="20"/>
                <w:szCs w:val="20"/>
                <w:rtl w:val="0"/>
              </w:rPr>
              <w:t xml:space="preserve">Revenue recognition automation</w:t>
            </w:r>
            <w:r w:rsidDel="00000000" w:rsidR="00000000" w:rsidRPr="00000000">
              <w:rPr>
                <w:sz w:val="20"/>
                <w:szCs w:val="20"/>
                <w:rtl w:val="0"/>
              </w:rPr>
              <w:t xml:space="preserve"> - Clear, auditable monthly rev rec journal entries that align with their accounting rules, especially given their milestone and long-term contract structure.</w:t>
              <w:br w:type="textWrapping"/>
            </w:r>
          </w:p>
          <w:p w:rsidR="00000000" w:rsidDel="00000000" w:rsidP="00000000" w:rsidRDefault="00000000" w:rsidRPr="00000000" w14:paraId="00000017">
            <w:pPr>
              <w:widowControl w:val="0"/>
              <w:numPr>
                <w:ilvl w:val="0"/>
                <w:numId w:val="1"/>
              </w:numPr>
              <w:spacing w:after="240" w:before="0" w:beforeAutospacing="0" w:line="240" w:lineRule="auto"/>
              <w:ind w:left="720" w:hanging="360"/>
              <w:rPr>
                <w:sz w:val="20"/>
                <w:szCs w:val="20"/>
              </w:rPr>
            </w:pPr>
            <w:r w:rsidDel="00000000" w:rsidR="00000000" w:rsidRPr="00000000">
              <w:rPr>
                <w:b w:val="1"/>
                <w:sz w:val="20"/>
                <w:szCs w:val="20"/>
                <w:rtl w:val="0"/>
              </w:rPr>
              <w:t xml:space="preserve">Tight NetSuite integration</w:t>
            </w:r>
            <w:r w:rsidDel="00000000" w:rsidR="00000000" w:rsidRPr="00000000">
              <w:rPr>
                <w:sz w:val="20"/>
                <w:szCs w:val="20"/>
                <w:rtl w:val="0"/>
              </w:rPr>
              <w:t xml:space="preserve"> - Posting journal entries and invoices directly into NetSuite in a way that’s simple to manage and doesn’t require heavy manual intervention.</w:t>
            </w:r>
          </w:p>
          <w:p w:rsidR="00000000" w:rsidDel="00000000" w:rsidP="00000000" w:rsidRDefault="00000000" w:rsidRPr="00000000" w14:paraId="0000001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9">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A">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B">
      <w:pPr>
        <w:pStyle w:val="Heading3"/>
        <w:rPr>
          <w:sz w:val="20"/>
          <w:szCs w:val="20"/>
        </w:rPr>
      </w:pPr>
      <w:bookmarkStart w:colFirst="0" w:colLast="0" w:name="_ymdiz825wd3r" w:id="3"/>
      <w:bookmarkEnd w:id="3"/>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(Entire Section: Implementation to fill section) </w:t>
        <w:br w:type="textWrapping"/>
      </w:r>
      <w:r w:rsidDel="00000000" w:rsidR="00000000" w:rsidRPr="00000000">
        <w:rPr>
          <w:rtl w:val="0"/>
        </w:rPr>
      </w:r>
    </w:p>
    <w:p w:rsidR="00000000" w:rsidDel="00000000" w:rsidP="00000000" w:rsidRDefault="00000000" w:rsidRPr="00000000" w14:paraId="0000001C">
      <w:pPr>
        <w:numPr>
          <w:ilvl w:val="0"/>
          <w:numId w:val="2"/>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2"/>
        </w:numPr>
        <w:ind w:left="720" w:hanging="360"/>
        <w:rPr>
          <w:sz w:val="20"/>
          <w:szCs w:val="20"/>
          <w:highlight w:val="yellow"/>
        </w:rPr>
      </w:pPr>
      <w:r w:rsidDel="00000000" w:rsidR="00000000" w:rsidRPr="00000000">
        <w:rPr>
          <w:sz w:val="20"/>
          <w:szCs w:val="20"/>
          <w:highlight w:val="yellow"/>
          <w:rtl w:val="0"/>
        </w:rPr>
        <w:t xml:space="preserve">Information on how merchant bills</w:t>
      </w:r>
      <w:r w:rsidDel="00000000" w:rsidR="00000000" w:rsidRPr="00000000">
        <w:rPr>
          <w:rtl w:val="0"/>
        </w:rPr>
      </w:r>
    </w:p>
    <w:p w:rsidR="00000000" w:rsidDel="00000000" w:rsidP="00000000" w:rsidRDefault="00000000" w:rsidRPr="00000000" w14:paraId="0000001F">
      <w:pPr>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sz w:val="20"/>
          <w:szCs w:val="20"/>
          <w:highlight w:val="yellow"/>
        </w:rPr>
      </w:pPr>
      <w:r w:rsidDel="00000000" w:rsidR="00000000" w:rsidRPr="00000000">
        <w:rPr>
          <w:sz w:val="20"/>
          <w:szCs w:val="20"/>
          <w:highlight w:val="yellow"/>
          <w:rtl w:val="0"/>
        </w:rPr>
        <w:t xml:space="preserve">How contract is broken up</w:t>
      </w:r>
      <w:r w:rsidDel="00000000" w:rsidR="00000000" w:rsidRPr="00000000">
        <w:rPr>
          <w:rtl w:val="0"/>
        </w:rPr>
      </w:r>
    </w:p>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numPr>
          <w:ilvl w:val="0"/>
          <w:numId w:val="2"/>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25">
      <w:pPr>
        <w:numPr>
          <w:ilvl w:val="0"/>
          <w:numId w:val="6"/>
        </w:numPr>
        <w:ind w:left="720" w:hanging="360"/>
        <w:rPr>
          <w:sz w:val="20"/>
          <w:szCs w:val="20"/>
          <w:highlight w:val="yellow"/>
        </w:rPr>
      </w:pPr>
      <w:r w:rsidDel="00000000" w:rsidR="00000000" w:rsidRPr="00000000">
        <w:rPr>
          <w:sz w:val="20"/>
          <w:szCs w:val="20"/>
          <w:highlight w:val="yellow"/>
          <w:rtl w:val="0"/>
        </w:rPr>
        <w:t xml:space="preserve">Steps to process</w:t>
        <w:br w:type="textWrapping"/>
      </w:r>
    </w:p>
    <w:p w:rsidR="00000000" w:rsidDel="00000000" w:rsidP="00000000" w:rsidRDefault="00000000" w:rsidRPr="00000000" w14:paraId="00000026">
      <w:pPr>
        <w:numPr>
          <w:ilvl w:val="0"/>
          <w:numId w:val="6"/>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27">
      <w:pPr>
        <w:numPr>
          <w:ilvl w:val="0"/>
          <w:numId w:val="6"/>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28">
      <w:pPr>
        <w:numPr>
          <w:ilvl w:val="0"/>
          <w:numId w:val="6"/>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29">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2A">
      <w:pPr>
        <w:numPr>
          <w:ilvl w:val="0"/>
          <w:numId w:val="6"/>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2B">
      <w:pPr>
        <w:numPr>
          <w:ilvl w:val="1"/>
          <w:numId w:val="6"/>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2C">
      <w:pPr>
        <w:numPr>
          <w:ilvl w:val="0"/>
          <w:numId w:val="6"/>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2D">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2E">
      <w:pPr>
        <w:numPr>
          <w:ilvl w:val="0"/>
          <w:numId w:val="6"/>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2F">
      <w:pPr>
        <w:numPr>
          <w:ilvl w:val="1"/>
          <w:numId w:val="6"/>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30">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1">
      <w:pPr>
        <w:numPr>
          <w:ilvl w:val="0"/>
          <w:numId w:val="4"/>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32">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3">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4">
      <w:pPr>
        <w:numPr>
          <w:ilvl w:val="0"/>
          <w:numId w:val="7"/>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35">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36">
      <w:pPr>
        <w:numPr>
          <w:ilvl w:val="0"/>
          <w:numId w:val="7"/>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37">
      <w:pPr>
        <w:ind w:left="720" w:firstLine="0"/>
        <w:rPr>
          <w:sz w:val="20"/>
          <w:szCs w:val="20"/>
        </w:rPr>
      </w:pPr>
      <w:r w:rsidDel="00000000" w:rsidR="00000000" w:rsidRPr="00000000">
        <w:rPr>
          <w:rtl w:val="0"/>
        </w:rPr>
      </w:r>
    </w:p>
    <w:p w:rsidR="00000000" w:rsidDel="00000000" w:rsidP="00000000" w:rsidRDefault="00000000" w:rsidRPr="00000000" w14:paraId="0000003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3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3A">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3B">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3C">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3D">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3E">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3F">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40">
      <w:pPr>
        <w:ind w:left="720" w:firstLine="0"/>
        <w:rPr>
          <w:sz w:val="20"/>
          <w:szCs w:val="20"/>
          <w:highlight w:val="yellow"/>
        </w:rPr>
      </w:pPr>
      <w:r w:rsidDel="00000000" w:rsidR="00000000" w:rsidRPr="00000000">
        <w:rPr>
          <w:rtl w:val="0"/>
        </w:rPr>
      </w:r>
    </w:p>
    <w:p w:rsidR="00000000" w:rsidDel="00000000" w:rsidP="00000000" w:rsidRDefault="00000000" w:rsidRPr="00000000" w14:paraId="00000041">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(Entire Section: Implementation/Success to fill Post-Go Live)  </w:t>
      </w:r>
      <w:r w:rsidDel="00000000" w:rsidR="00000000" w:rsidRPr="00000000">
        <w:rPr>
          <w:rtl w:val="0"/>
        </w:rPr>
      </w:r>
    </w:p>
    <w:p w:rsidR="00000000" w:rsidDel="00000000" w:rsidP="00000000" w:rsidRDefault="00000000" w:rsidRPr="00000000" w14:paraId="00000042">
      <w:pPr>
        <w:numPr>
          <w:ilvl w:val="0"/>
          <w:numId w:val="8"/>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43">
      <w:pPr>
        <w:numPr>
          <w:ilvl w:val="1"/>
          <w:numId w:val="8"/>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44">
      <w:pPr>
        <w:numPr>
          <w:ilvl w:val="1"/>
          <w:numId w:val="8"/>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45">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 to fill for all requests prior to Imp handoff, Imp to fill prior to go-live/Success to fill to fill Post-Go Live) </w:t>
      </w:r>
      <w:r w:rsidDel="00000000" w:rsidR="00000000" w:rsidRPr="00000000">
        <w:rPr>
          <w:rtl w:val="0"/>
        </w:rPr>
      </w:r>
    </w:p>
    <w:p w:rsidR="00000000" w:rsidDel="00000000" w:rsidP="00000000" w:rsidRDefault="00000000" w:rsidRPr="00000000" w14:paraId="00000046">
      <w:pPr>
        <w:numPr>
          <w:ilvl w:val="0"/>
          <w:numId w:val="2"/>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47">
      <w:pPr>
        <w:numPr>
          <w:ilvl w:val="1"/>
          <w:numId w:val="2"/>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48">
      <w:pPr>
        <w:numPr>
          <w:ilvl w:val="1"/>
          <w:numId w:val="2"/>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49">
      <w:pPr>
        <w:numPr>
          <w:ilvl w:val="1"/>
          <w:numId w:val="2"/>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4A">
      <w:pPr>
        <w:ind w:left="0" w:firstLine="0"/>
        <w:rPr>
          <w:sz w:val="20"/>
          <w:szCs w:val="20"/>
        </w:rPr>
      </w:pPr>
      <w:r w:rsidDel="00000000" w:rsidR="00000000" w:rsidRPr="00000000">
        <w:rPr>
          <w:rtl w:val="0"/>
        </w:rPr>
      </w:r>
    </w:p>
    <w:p w:rsidR="00000000" w:rsidDel="00000000" w:rsidP="00000000" w:rsidRDefault="00000000" w:rsidRPr="00000000" w14:paraId="0000004B">
      <w:pPr>
        <w:pStyle w:val="Heading3"/>
        <w:rPr>
          <w:sz w:val="20"/>
          <w:szCs w:val="20"/>
        </w:rPr>
      </w:pPr>
      <w:bookmarkStart w:colFirst="0" w:colLast="0" w:name="_oykkd54hcc96" w:id="8"/>
      <w:bookmarkEnd w:id="8"/>
      <w:r w:rsidDel="00000000" w:rsidR="00000000" w:rsidRPr="00000000">
        <w:rPr>
          <w:sz w:val="20"/>
          <w:szCs w:val="20"/>
          <w:rtl w:val="0"/>
        </w:rPr>
        <w:t xml:space="preserve">Merchant Calls</w:t>
        <w:br w:type="textWrapping"/>
      </w:r>
      <w:r w:rsidDel="00000000" w:rsidR="00000000" w:rsidRPr="00000000">
        <w:rPr>
          <w:i w:val="1"/>
          <w:color w:val="666666"/>
          <w:sz w:val="16"/>
          <w:szCs w:val="16"/>
          <w:rtl w:val="0"/>
        </w:rPr>
        <w:t xml:space="preserve">(AE to fill for all videos prior to Imp involvement, Imp to fill prior to go-live/Success to fill to fill Post-Go Live)</w:t>
      </w:r>
      <w:r w:rsidDel="00000000" w:rsidR="00000000" w:rsidRPr="00000000">
        <w:rPr>
          <w:rtl w:val="0"/>
        </w:rPr>
      </w:r>
    </w:p>
    <w:p w:rsidR="00000000" w:rsidDel="00000000" w:rsidP="00000000" w:rsidRDefault="00000000" w:rsidRPr="00000000" w14:paraId="0000004C">
      <w:pPr>
        <w:numPr>
          <w:ilvl w:val="0"/>
          <w:numId w:val="2"/>
        </w:numPr>
        <w:ind w:left="720" w:hanging="360"/>
        <w:rPr>
          <w:sz w:val="20"/>
          <w:szCs w:val="20"/>
        </w:rPr>
      </w:pPr>
      <w:r w:rsidDel="00000000" w:rsidR="00000000" w:rsidRPr="00000000">
        <w:rPr>
          <w:sz w:val="20"/>
          <w:szCs w:val="20"/>
          <w:rtl w:val="0"/>
        </w:rPr>
        <w:t xml:space="preserve">.</w:t>
      </w:r>
    </w:p>
    <w:p w:rsidR="00000000" w:rsidDel="00000000" w:rsidP="00000000" w:rsidRDefault="00000000" w:rsidRPr="00000000" w14:paraId="0000004D">
      <w:pPr>
        <w:numPr>
          <w:ilvl w:val="0"/>
          <w:numId w:val="2"/>
        </w:numPr>
        <w:ind w:left="720" w:hanging="360"/>
        <w:rPr>
          <w:sz w:val="20"/>
          <w:szCs w:val="20"/>
          <w:u w:val="none"/>
        </w:rPr>
      </w:pPr>
      <w:r w:rsidDel="00000000" w:rsidR="00000000" w:rsidRPr="00000000">
        <w:rPr>
          <w:sz w:val="20"/>
          <w:szCs w:val="20"/>
          <w:rtl w:val="0"/>
        </w:rPr>
        <w:t xml:space="preserve">.</w:t>
      </w:r>
    </w:p>
    <w:p w:rsidR="00000000" w:rsidDel="00000000" w:rsidP="00000000" w:rsidRDefault="00000000" w:rsidRPr="00000000" w14:paraId="0000004E">
      <w:pPr>
        <w:numPr>
          <w:ilvl w:val="0"/>
          <w:numId w:val="2"/>
        </w:numPr>
        <w:ind w:left="720" w:hanging="360"/>
        <w:rPr>
          <w:sz w:val="20"/>
          <w:szCs w:val="20"/>
          <w:u w:val="none"/>
        </w:rPr>
      </w:pPr>
      <w:r w:rsidDel="00000000" w:rsidR="00000000" w:rsidRPr="00000000">
        <w:rPr>
          <w:sz w:val="20"/>
          <w:szCs w:val="20"/>
          <w:rtl w:val="0"/>
        </w:rPr>
        <w:t xml:space="preserve">.</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