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Vapi AI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Meg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4"/>
              <w:keepNext w:val="0"/>
              <w:keepLines w:val="0"/>
              <w:spacing w:after="40" w:befor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dia7be2jeyr6" w:id="3"/>
            <w:bookmarkEnd w:id="3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PLG (Self-Serve) Billing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8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Credit-based, auto-reloading via Stripe.</w:t>
              <w:br w:type="textWrapping"/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8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Revenue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~$9.3M ARR, thousands of customers.</w:t>
              <w:br w:type="textWrapping"/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8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  <w:br w:type="textWrapping"/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8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Customers prepay for credits.</w:t>
              <w:br w:type="textWrapping"/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18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Credits auto-reload at thresholds ($10–$50).</w:t>
              <w:br w:type="textWrapping"/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8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Pricing is fractional (per AI call minute).</w:t>
              <w:br w:type="textWrapping"/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8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Handled fully via Stripe, works well.</w:t>
              <w:br w:type="textWrapping"/>
            </w:r>
          </w:p>
          <w:p w:rsidR="00000000" w:rsidDel="00000000" w:rsidP="00000000" w:rsidRDefault="00000000" w:rsidRPr="00000000" w14:paraId="00000010">
            <w:pPr>
              <w:pStyle w:val="Heading4"/>
              <w:keepNext w:val="0"/>
              <w:keepLines w:val="0"/>
              <w:spacing w:after="40" w:befor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3u9phujrfri2" w:id="4"/>
            <w:bookmarkEnd w:id="4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SLG (Enterprise) Billing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Contract-based billing via QuickBooks.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Revenue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~$5.3M ARR, 38 customers (doubling to ~75 by Jan).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Process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 review of MSAs and contracts.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 created by hand in QBO.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tracked in PostHog → reconciled monthly.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rec, collections, and reporting done in spreadsheets.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15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Collections: QBO reminders → spreadsheet aging → manual escalation.</w:t>
            </w:r>
          </w:p>
          <w:p w:rsidR="00000000" w:rsidDel="00000000" w:rsidP="00000000" w:rsidRDefault="00000000" w:rsidRPr="00000000" w14:paraId="0000001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Amir is Head of Finance and joined a month ago as the first in house finance hire. He’s supported by Tyler and Alex from Punch Financial, one of our partners.</w:t>
            </w:r>
          </w:p>
          <w:p w:rsidR="00000000" w:rsidDel="00000000" w:rsidP="00000000" w:rsidRDefault="00000000" w:rsidRPr="00000000" w14:paraId="0000001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Alex - invoicing collections, Tyler = MEC and Rev reporting (tabs enables move off)</w:t>
            </w:r>
          </w:p>
          <w:p w:rsidR="00000000" w:rsidDel="00000000" w:rsidP="00000000" w:rsidRDefault="00000000" w:rsidRPr="00000000" w14:paraId="0000001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Vapi’s team is strategic, technically savvy, and growth-focused, but currently constrained by manual processes.</w:t>
            </w:r>
          </w:p>
          <w:p w:rsidR="00000000" w:rsidDel="00000000" w:rsidP="00000000" w:rsidRDefault="00000000" w:rsidRPr="00000000" w14:paraId="0000001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Pragmatic but overextended: Amir (Ops/Rev), Alex (Billing), and Tyler (Finance/Exec) are all managing mission-critical revenue ops manually, despite high growth.</w:t>
            </w:r>
          </w:p>
          <w:p w:rsidR="00000000" w:rsidDel="00000000" w:rsidP="00000000" w:rsidRDefault="00000000" w:rsidRPr="00000000" w14:paraId="0000002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resistant to change: They are open and even eager to automate — Amir said, “I think we are on the right direction here” after seeing Tabs in action.</w:t>
            </w:r>
          </w:p>
          <w:p w:rsidR="00000000" w:rsidDel="00000000" w:rsidP="00000000" w:rsidRDefault="00000000" w:rsidRPr="00000000" w14:paraId="00000023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Finance-mature but resource-light: They understand rev rec, ARR, DSO, and audits, but outsource accounting to Punch and don’t want to grow headcount.</w:t>
            </w:r>
          </w:p>
          <w:p w:rsidR="00000000" w:rsidDel="00000000" w:rsidP="00000000" w:rsidRDefault="00000000" w:rsidRPr="00000000" w14:paraId="0000002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Audit- and scale-conscious: Tyler specifically emphasized audit readiness and focusing staff time on strategic finance, not spreadsheet gymnastics.</w:t>
            </w:r>
          </w:p>
          <w:p w:rsidR="00000000" w:rsidDel="00000000" w:rsidP="00000000" w:rsidRDefault="00000000" w:rsidRPr="00000000" w14:paraId="0000002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Cautiously collaborative: They're evaluating multiple tools (Tabs, Numeral, Anrok, Ledger), but willing to move fast if the solution is right.</w:t>
            </w:r>
          </w:p>
          <w:p w:rsidR="00000000" w:rsidDel="00000000" w:rsidP="00000000" w:rsidRDefault="00000000" w:rsidRPr="00000000" w14:paraId="0000002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primary point of contact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Amir Ram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with strong input from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Alex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(billing)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Tyler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(finance leadership). Here are the most valued Tabs features:</w:t>
            </w:r>
          </w:p>
          <w:p w:rsidR="00000000" w:rsidDel="00000000" w:rsidP="00000000" w:rsidRDefault="00000000" w:rsidRPr="00000000" w14:paraId="0000002B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wkagqi9vzo11" w:id="5"/>
            <w:bookmarkEnd w:id="5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💼 For Amir (Revenue / Ops)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contract ingestion and invoice creation from MSAs.</w:t>
              <w:br w:type="textWrapping"/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billing + mid-term overage detection →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triggers for renegotiation/expansion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Renewal visibility and alerts for sales/account teams.</w:t>
              <w:br w:type="textWrapping"/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Avoiding hiring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while supporting 2x SLG growth.</w:t>
              <w:br w:type="textWrapping"/>
            </w:r>
          </w:p>
          <w:p w:rsidR="00000000" w:rsidDel="00000000" w:rsidP="00000000" w:rsidRDefault="00000000" w:rsidRPr="00000000" w14:paraId="00000030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hou2gpojafmw" w:id="6"/>
            <w:bookmarkEnd w:id="6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🧾 For Alex (Billing Owner)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4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Replace manual invoicing in QuickBooks.</w:t>
              <w:br w:type="textWrapping"/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4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collections + AR tracking.</w:t>
              <w:br w:type="textWrapping"/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4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 app via Plaid + usage of Stripe rails.</w:t>
              <w:br w:type="textWrapping"/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4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In-depth AR and aging analytics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replace spreadsheets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4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append usage receipts to invoices.</w:t>
              <w:br w:type="textWrapping"/>
            </w:r>
          </w:p>
          <w:p w:rsidR="00000000" w:rsidDel="00000000" w:rsidP="00000000" w:rsidRDefault="00000000" w:rsidRPr="00000000" w14:paraId="00000036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l12hzn5np3wg" w:id="7"/>
            <w:bookmarkEnd w:id="7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📊 For Tyler (Finance/Exec)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GAAP-compliant rev rec and journal entry generation.</w:t>
              <w:br w:type="textWrapping"/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Month-end close automation and audit readiness.</w:t>
              <w:br w:type="textWrapping"/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Consolidated revenue visibility across PLG + SLG.</w:t>
              <w:br w:type="textWrapping"/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Forecasting and reporting by product/revenue category.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49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contracts: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271e108b-e691-41f4-b3ed-6dce565a0566</w:t>
      </w:r>
    </w:p>
    <w:p w:rsidR="00000000" w:rsidDel="00000000" w:rsidP="00000000" w:rsidRDefault="00000000" w:rsidRPr="00000000" w14:paraId="0000004B">
      <w:pPr>
        <w:numPr>
          <w:ilvl w:val="0"/>
          <w:numId w:val="2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C6693aa4-3dc2-4e5b-a144-0f098079fefb</w:t>
      </w:r>
    </w:p>
    <w:p w:rsidR="00000000" w:rsidDel="00000000" w:rsidP="00000000" w:rsidRDefault="00000000" w:rsidRPr="00000000" w14:paraId="0000004C">
      <w:pPr>
        <w:numPr>
          <w:ilvl w:val="0"/>
          <w:numId w:val="2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c4661eaa-18f0-4ae5-adc9-18b737634f15</w:t>
      </w:r>
    </w:p>
    <w:p w:rsidR="00000000" w:rsidDel="00000000" w:rsidP="00000000" w:rsidRDefault="00000000" w:rsidRPr="00000000" w14:paraId="0000004D">
      <w:pPr>
        <w:numPr>
          <w:ilvl w:val="0"/>
          <w:numId w:val="2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67ef7d3f-9a0c-4bfe-8d80-147a3ce5de65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e0w6wxjif298" w:id="10"/>
      <w:bookmarkEnd w:id="10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Locate Billing Terms</w:t>
      </w:r>
    </w:p>
    <w:p w:rsidR="00000000" w:rsidDel="00000000" w:rsidP="00000000" w:rsidRDefault="00000000" w:rsidRPr="00000000" w14:paraId="0000004F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are always captured in the signed Order Form (usually the first page)</w:t>
        <w:br w:type="textWrapping"/>
      </w: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423457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4234578"/>
                          <a:chOff x="152400" y="152400"/>
                          <a:chExt cx="5943600" cy="422910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1686250" y="1277200"/>
                            <a:ext cx="1022700" cy="132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634150" y="1410100"/>
                            <a:ext cx="1022700" cy="132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234578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2345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fee type should be processed as its own BT 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Overage BT should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</w:t>
      </w:r>
      <w:r w:rsidDel="00000000" w:rsidR="00000000" w:rsidRPr="00000000">
        <w:rPr>
          <w:sz w:val="20"/>
          <w:szCs w:val="20"/>
          <w:rtl w:val="0"/>
        </w:rPr>
        <w:t xml:space="preserve"> be created if noted in contract as a per minute fee or if the billing frequency is specified</w:t>
      </w:r>
    </w:p>
    <w:p w:rsidR="00000000" w:rsidDel="00000000" w:rsidP="00000000" w:rsidRDefault="00000000" w:rsidRPr="00000000" w14:paraId="00000052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48ed6c86-656a-4ddf-b022-a51237ba2863</w:t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5461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546100"/>
                          <a:chOff x="152400" y="152400"/>
                          <a:chExt cx="5943600" cy="533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47675" y="265875"/>
                            <a:ext cx="2515500" cy="347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461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3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</w:t>
      </w:r>
      <w:r w:rsidDel="00000000" w:rsidR="00000000" w:rsidRPr="00000000">
        <w:rPr>
          <w:sz w:val="20"/>
          <w:szCs w:val="20"/>
          <w:rtl w:val="0"/>
        </w:rPr>
        <w:t xml:space="preserve"> need to create BT for “Additional usage tier”</w:t>
      </w:r>
    </w:p>
    <w:p w:rsidR="00000000" w:rsidDel="00000000" w:rsidP="00000000" w:rsidRDefault="00000000" w:rsidRPr="00000000" w14:paraId="00000055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9398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939800"/>
                          <a:chOff x="152400" y="152400"/>
                          <a:chExt cx="5943600" cy="923925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2495050" y="726000"/>
                            <a:ext cx="1022700" cy="143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939800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939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descriptions under "Services" that do not contain pricing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vb6vdyyw06ir" w:id="11"/>
      <w:bookmarkEnd w:id="11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Item Name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label associated with each line item in the pricing section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Examples: "Platform License Fee", "Annual Usage Fee", "Setup / Integration / Training Fee"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igp0ed9zzerb" w:id="12"/>
      <w:bookmarkEnd w:id="12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Quantity 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quantity noted for each product; if none, default to one </w:t>
      </w:r>
    </w:p>
    <w:p w:rsidR="00000000" w:rsidDel="00000000" w:rsidP="00000000" w:rsidRDefault="00000000" w:rsidRPr="00000000" w14:paraId="0000005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Platform, integration, and one-time fees will usually be 1</w:t>
      </w:r>
    </w:p>
    <w:p w:rsidR="00000000" w:rsidDel="00000000" w:rsidP="00000000" w:rsidRDefault="00000000" w:rsidRPr="00000000" w14:paraId="0000005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Annual usage fee usually notes the number of included minutes</w:t>
      </w:r>
    </w:p>
    <w:p w:rsidR="00000000" w:rsidDel="00000000" w:rsidP="00000000" w:rsidRDefault="00000000" w:rsidRPr="00000000" w14:paraId="0000005E">
      <w:pPr>
        <w:numPr>
          <w:ilvl w:val="2"/>
          <w:numId w:val="20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above has 600,000 minutes - this would be the quantity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svw5izije37o" w:id="13"/>
      <w:bookmarkEnd w:id="13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Service Start Date</w:t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contract's "Effective Date" if listed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explicitly provided, use the signature date as a fallback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after="80" w:before="280" w:lineRule="auto"/>
        <w:ind w:left="360" w:firstLine="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iezctysctjvp" w:id="14"/>
      <w:bookmarkEnd w:id="14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Months of Service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Usually listed in “Service Term”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stated, default to 12 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VAPI contracts state a 12-month initial 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2l3hqk2rxaee" w:id="15"/>
      <w:bookmarkEnd w:id="15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Billing Type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except for usage BT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Only</w:t>
      </w:r>
      <w:r w:rsidDel="00000000" w:rsidR="00000000" w:rsidRPr="00000000">
        <w:rPr>
          <w:sz w:val="20"/>
          <w:szCs w:val="20"/>
          <w:rtl w:val="0"/>
        </w:rPr>
        <w:t xml:space="preserve"> create usage BT for if a per minute rate is specified or a billing period is specified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 minute usage BT can be billed monthly in arrears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for cefcc268-d252-48c5-9c25-3b066387da2e (per minute)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333375</wp:posOffset>
                </wp:positionV>
                <wp:extent cx="5943600" cy="1536700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536700"/>
                          <a:chOff x="152400" y="152400"/>
                          <a:chExt cx="6553200" cy="1673700"/>
                        </a:xfrm>
                      </wpg:grpSpPr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9" cy="167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2" name="Shape 12"/>
                        <wps:spPr>
                          <a:xfrm>
                            <a:off x="2290550" y="869175"/>
                            <a:ext cx="2096400" cy="132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333375</wp:posOffset>
                </wp:positionV>
                <wp:extent cx="5943600" cy="1536700"/>
                <wp:effectExtent b="0" l="0" r="0" t="0"/>
                <wp:wrapSquare wrapText="bothSides" distB="114300" distT="114300" distL="114300" distR="11430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53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24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And 48ed6c86-656a-4ddf-b022-a51237ba2863 (billing period is specified)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361950</wp:posOffset>
                </wp:positionV>
                <wp:extent cx="5943600" cy="54610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546100"/>
                          <a:chOff x="152400" y="152400"/>
                          <a:chExt cx="5943600" cy="533400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1738350" y="276100"/>
                            <a:ext cx="1053300" cy="214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361950</wp:posOffset>
                </wp:positionV>
                <wp:extent cx="5943600" cy="546100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fs9h9umys486" w:id="16"/>
      <w:bookmarkEnd w:id="16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Total Price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price for the individual billing period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 usually listed in “Total Amount Due” section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is often an initial payment that is due at signing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next payment for that billing period should deduct this initial payment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example above $15k is due at signing and the remaining $120k is due in quarterly installments following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$15k and pilot period is considered the first quarter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total contract amount is $135k - quarterly amount due is $33.75k. Broken down for the 2 products: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$11.25k per quarter for platform license</w:t>
      </w:r>
    </w:p>
    <w:p w:rsidR="00000000" w:rsidDel="00000000" w:rsidP="00000000" w:rsidRDefault="00000000" w:rsidRPr="00000000" w14:paraId="0000007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$22.5k per quarter for annual usage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would make one BT for “initial payment” in the amount of $15k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the end of the pilot period (30 days), you would invoice for the remaining $18.75k</w:t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would be split into 2 products</w:t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$11.25k - $7.5k (initial payment) = $3.75k for platform license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$22.5k - $7.5k (initial payment) = $15k for annual usage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Then create BT for the remaining 3 quarterly payments: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$11.25k per quarter for platform license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$22.5k per quarter for annual usage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u6hzg8pv3vnt" w:id="17"/>
      <w:bookmarkEnd w:id="17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Billing Start Date</w:t>
      </w:r>
    </w:p>
    <w:p w:rsidR="00000000" w:rsidDel="00000000" w:rsidP="00000000" w:rsidRDefault="00000000" w:rsidRPr="00000000" w14:paraId="00000082">
      <w:pPr>
        <w:numPr>
          <w:ilvl w:val="0"/>
          <w:numId w:val="19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Depends on payment frequency (see above)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221o6gpasy20" w:id="18"/>
      <w:bookmarkEnd w:id="18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Frequency &amp; Period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Determine based on payment terms usually noted in “total amount due”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billing schedule is not noted, default to annual, one-time payment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qr1eqz71y24l" w:id="19"/>
      <w:bookmarkEnd w:id="19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Net Terms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Look for language in the agreement or terms &amp; conditions (look in “payment and fees” sections)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stated as "full payment due within 90 days of invoice" → Net 90</w:t>
      </w:r>
    </w:p>
    <w:p w:rsidR="00000000" w:rsidDel="00000000" w:rsidP="00000000" w:rsidRDefault="00000000" w:rsidRPr="00000000" w14:paraId="0000008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Due upon signing = net 0</w:t>
      </w:r>
    </w:p>
    <w:p w:rsidR="00000000" w:rsidDel="00000000" w:rsidP="00000000" w:rsidRDefault="00000000" w:rsidRPr="00000000" w14:paraId="0000008A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stated, default to Net 30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ngyrkgfm8szj" w:id="20"/>
      <w:bookmarkEnd w:id="20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Billing Timing</w:t>
      </w:r>
    </w:p>
    <w:p w:rsidR="00000000" w:rsidDel="00000000" w:rsidP="00000000" w:rsidRDefault="00000000" w:rsidRPr="00000000" w14:paraId="0000008C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8D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 in arrears for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hj7oakl6og3b" w:id="21"/>
      <w:bookmarkEnd w:id="21"/>
      <w:commentRangeStart w:id="0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Integration Item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pxv22ua0j7aj" w:id="22"/>
      <w:bookmarkEnd w:id="22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11. Ignore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Do not create BTs for waived line items (e.g., setup fee marked "WAIVED")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95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97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99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9B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>
          <w:sz w:val="20"/>
          <w:szCs w:val="20"/>
        </w:rPr>
      </w:pPr>
      <w:bookmarkStart w:colFirst="0" w:colLast="0" w:name="_32907kxgf70j" w:id="23"/>
      <w:bookmarkEnd w:id="23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9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A1">
      <w:pPr>
        <w:numPr>
          <w:ilvl w:val="0"/>
          <w:numId w:val="2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A2">
      <w:pPr>
        <w:numPr>
          <w:ilvl w:val="0"/>
          <w:numId w:val="2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A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A8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A9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AA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AB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A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>
          <w:sz w:val="20"/>
          <w:szCs w:val="20"/>
        </w:rPr>
      </w:pPr>
      <w:bookmarkStart w:colFirst="0" w:colLast="0" w:name="_niouzto9de6n" w:id="24"/>
      <w:bookmarkEnd w:id="24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AF">
      <w:pPr>
        <w:numPr>
          <w:ilvl w:val="1"/>
          <w:numId w:val="2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B0">
      <w:pPr>
        <w:numPr>
          <w:ilvl w:val="1"/>
          <w:numId w:val="2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B1">
      <w:pPr>
        <w:pStyle w:val="Heading3"/>
        <w:rPr>
          <w:sz w:val="20"/>
          <w:szCs w:val="20"/>
        </w:rPr>
      </w:pPr>
      <w:bookmarkStart w:colFirst="0" w:colLast="0" w:name="_htt28tqxjcgm" w:id="25"/>
      <w:bookmarkEnd w:id="25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 integration to PostHog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want to build a connection from PostHog to Tabs on their end for usage data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Credit based usage model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Low - they’ll build this</w:t>
      </w:r>
    </w:p>
    <w:p w:rsidR="00000000" w:rsidDel="00000000" w:rsidP="00000000" w:rsidRDefault="00000000" w:rsidRPr="00000000" w14:paraId="000000B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>
          <w:sz w:val="20"/>
          <w:szCs w:val="20"/>
        </w:rPr>
      </w:pPr>
      <w:bookmarkStart w:colFirst="0" w:colLast="0" w:name="_oykkd54hcc96" w:id="26"/>
      <w:bookmarkEnd w:id="26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(7/23)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https://us-56595.app.gong.io/call?id=4668592166497129899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 (7/28)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https://us-56595.app.gong.io/call?id=8482296302047720564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and Pricing (7/29)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https://us-56595.app.gong.io/call?id=8847966359886219761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0" w:date="2025-08-18T16:40:32Z"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+ rev rec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header" Target="header1.xm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