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ind w:firstLine="720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Honor 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 </w:t>
      </w:r>
      <w:r w:rsidDel="00000000" w:rsidR="00000000" w:rsidRPr="00000000">
        <w:rPr>
          <w:sz w:val="20"/>
          <w:szCs w:val="20"/>
          <w:rtl w:val="0"/>
        </w:rPr>
        <w:t xml:space="preserve">Feb 29,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539180281"/>
          <w:dropDownList w:lastValue="Skoro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Skoro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629890402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</w:t>
      </w:r>
      <w:commentRangeStart w:id="0"/>
      <w:commentRangeStart w:id="1"/>
      <w:r w:rsidDel="00000000" w:rsidR="00000000" w:rsidRPr="00000000">
        <w:rPr>
          <w:sz w:val="20"/>
          <w:szCs w:val="20"/>
          <w:rtl w:val="0"/>
        </w:rPr>
        <w:t xml:space="preserve">ax Integration: </w:t>
      </w:r>
      <w:sdt>
        <w:sdtPr>
          <w:alias w:val="Stage"/>
          <w:id w:val="-1008490083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Fractional Head of Finance: Yoav Cohen &lt;</w:t>
      </w:r>
      <w:hyperlink r:id="rId7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yoav@honor.education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Ex-colleague at Latch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Joel Podolny &lt;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highlight w:val="white"/>
            <w:u w:val="single"/>
            <w:rtl w:val="0"/>
          </w:rPr>
          <w:t xml:space="preserve">joel@honor.education</w:t>
        </w:r>
      </w:hyperlink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Signatory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eyd60qhnw16" w:id="3"/>
      <w:bookmarkEnd w:id="3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Provides education software to schools and universities 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1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Yoav, the fractional accountant, is a former colleague of Ali, Deepak, and Skoro at Latch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Yoav needs to be better trained on using the product, often just emails instead of doing it himself</w:t>
      </w:r>
    </w:p>
    <w:p w:rsidR="00000000" w:rsidDel="00000000" w:rsidP="00000000" w:rsidRDefault="00000000" w:rsidRPr="00000000" w14:paraId="00000013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Standard flat-line billing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They’re exploring a more nuanced channel distribution model, but have not yet implemented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684830</wp:posOffset>
            </wp:positionV>
            <wp:extent cx="6948987" cy="1325207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8987" cy="13252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of 12/12/2024 - any new client should be marked “bill to merchant”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should always be “</w:t>
      </w:r>
      <w:r w:rsidDel="00000000" w:rsidR="00000000" w:rsidRPr="00000000">
        <w:rPr>
          <w:sz w:val="20"/>
          <w:szCs w:val="20"/>
          <w:rtl w:val="0"/>
        </w:rPr>
        <w:t xml:space="preserve">Sales”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commentRangeStart w:id="2"/>
      <w:r w:rsidDel="00000000" w:rsidR="00000000" w:rsidRPr="00000000">
        <w:rPr>
          <w:sz w:val="20"/>
          <w:szCs w:val="20"/>
          <w:rtl w:val="0"/>
        </w:rPr>
        <w:t xml:space="preserve">Default language in contract can be ambiguous. The Base price is charged annually, overage fees are assessed quarterly. Example Below: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62475" cy="2590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this example: $15,000 is charged annually and “additional learner fees” are assessed quarterly, starting on June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 yet applicable, but may be later in 2024</w:t>
      </w:r>
    </w:p>
    <w:p w:rsidR="00000000" w:rsidDel="00000000" w:rsidP="00000000" w:rsidRDefault="00000000" w:rsidRPr="00000000" w14:paraId="0000001F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1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GS Suri" w:id="0" w:date="2024-05-28T12:46:43Z"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@aaziz@tabsplatform.com is this correct if there is a rule for integration items below?</w:t>
      </w:r>
    </w:p>
  </w:comment>
  <w:comment w:author="Azmat Aziz" w:id="1" w:date="2024-05-28T12:52:24Z"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Yes. 'Tax integration' was meant as a field for an AE/implementation person to input how the merchant is calculating taxes. Avalara, QBO AST, Anrok, no tax, unknown, etc.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 integration items are used to calculate taxes depending on which tax solution a merchant uses... the 'tax integration' field in the MIS and integration item fields are unrelated</w:t>
      </w:r>
    </w:p>
  </w:comment>
  <w:comment w:author="Charles Niesenbaum" w:id="2" w:date="2025-04-23T17:06:13Z"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@ashni@tabsplatform.com @marshall@tabsplatform.com - updated MIS per thread on 3/25: https://tabs-7so1666.slack.com/archives/C060FTSBZTK/p1742920154860989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me know if additional edits required.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ashni@tabsplatform.com_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rPr/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mailto:yoav@honor.education" TargetMode="External"/><Relationship Id="rId8" Type="http://schemas.openxmlformats.org/officeDocument/2006/relationships/hyperlink" Target="mailto:joel@honor.educa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