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Mar 25,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26,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Mar 28,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966389419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66428661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33853741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482280479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Harley Pasternak (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Internal system tracks services/tests, triggers API to Stripe for invoicing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Some customers pay via Stripe, others via Bill.com or directly to bank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Invoices are itemized and long (~10 pages), and customers often request invoice edits</w:t>
              <w:br w:type="textWrapping"/>
              <w:t xml:space="preserve">Stripe creates invoices, but clients can’t edit them</w:t>
              <w:br w:type="textWrapping"/>
              <w:t xml:space="preserve">Tabs will allow for cleaner, customizable invoicing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Collaborative, eager to move quickly. SFP is trying to streamline operations for Light Labs and sees Tabs as a strategic partner.</w:t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SFP is the partner, Light Labs is their client.</w:t>
              <w:br w:type="textWrapping"/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br w:type="textWrapping"/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