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Statsig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Apr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May 10,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Apr 30,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483956490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8002918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923801241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Anrok via QBO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Lauren Burke &lt;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lauren@statsig.com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 Head of Revenue Ops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Very interested in our key terms tracking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Stephen Praast &lt;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stephen@statsig.com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 Head of Finance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Signatory and keen on invoicing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“Thousands of companies, from startups to Fortune 500s, rely on Statsig: the single platform to ship, test, and analyze new features”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deck</w:t>
        </w:r>
      </w:hyperlink>
      <w:r w:rsidDel="00000000" w:rsidR="00000000" w:rsidRPr="00000000">
        <w:rPr>
          <w:sz w:val="20"/>
          <w:szCs w:val="20"/>
          <w:rtl w:val="0"/>
        </w:rPr>
        <w:t xml:space="preserve"> we used to close the deal. 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“What we heard about Statsig…”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Pricing model evolution has limited the ability to automate as the contract structure, billing terms and metrics have changed over time → mix of structures that require support today and in the future with legacy and future models at play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Lack of visibility into current repository of contracts → difficult to pattern-match across agreements or understand exposure and opportunities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based billing appears in 95% of customer contracts but is not uniformly enforced → no visibility into potential lost revenue or mechanism to capture this in the future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Manual invoicing with no ability to schedule in advance → time-intensive process to manually send each invoice each period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Spreadsheet inputs as the primary mechanism for AR → key person and human error risk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Reports get spun up from scratch → time and effort to recreate reporting on an ongoing basis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Manual follow-up dunning emails → significant aging / high DSO challenges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“Where Tabs can Support…”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Contracts: create a home for contract key terms and billing details, automatically re-generating based on amendments &amp; changes to customer relationship with easy filters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/ Variable Billing: upload usage data to either trigger overages, and/or create visibility into what is being waived. Empower the business to quantify the implications of not charging for variable terms.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Automated invoicing: full integration to automatically create future invoices and reconcile in your existing ERP (QBO today)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Collections: set dunning sequences and customized escalations; inter-team collaboration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Reports: AR &amp; Collections reporting, revenue reporting released in April/May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0"/>
          <w:szCs w:val="20"/>
        </w:rPr>
      </w:pPr>
      <w:commentRangeStart w:id="0"/>
      <w:commentRangeStart w:id="1"/>
      <w:commentRangeStart w:id="2"/>
      <w:r w:rsidDel="00000000" w:rsidR="00000000" w:rsidRPr="00000000">
        <w:rPr>
          <w:sz w:val="20"/>
          <w:szCs w:val="20"/>
          <w:rtl w:val="0"/>
        </w:rPr>
        <w:t xml:space="preserve">Mostly annual, some quarterly and monthly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Fixed price for the period, billed up front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is a quantity of events that are contracted but these are not tracked carefully and any overage incurred is not billed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There’s a one page order form associated with all contracts (or at least all future contracts). That form has a statsig logo and has everything we need to know. can skip other stuff in the overall PDF.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create any BTs for overages. All usage-based terms can be skipped. Billable Events Line Items are written as Flat Price BTs (not in arrears).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starts at the start of the subscription term</w:t>
      </w:r>
      <w:r w:rsidDel="00000000" w:rsidR="00000000" w:rsidRPr="00000000">
        <w:rPr>
          <w:sz w:val="20"/>
          <w:szCs w:val="20"/>
          <w:rtl w:val="0"/>
        </w:rPr>
        <w:t xml:space="preserve">; don’t worry about signature date or any other dates.  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now, leave integration items blank or assign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Sales</w:t>
      </w:r>
      <w:r w:rsidDel="00000000" w:rsidR="00000000" w:rsidRPr="00000000">
        <w:rPr>
          <w:sz w:val="20"/>
          <w:szCs w:val="20"/>
          <w:rtl w:val="0"/>
        </w:rPr>
        <w:t xml:space="preserve">. In the future, Stephen will provide us with guidance on what integration items to use.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customer does not exist in QBO already, please create the customer.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commentRangeStart w:id="3"/>
      <w:r w:rsidDel="00000000" w:rsidR="00000000" w:rsidRPr="00000000">
        <w:rPr>
          <w:sz w:val="20"/>
          <w:szCs w:val="20"/>
          <w:rtl w:val="0"/>
        </w:rPr>
        <w:t xml:space="preserve">Leave all quantities as 1 and instead put the quantity of events in the description field. This is essential because QBO cannot support a quantity over 100b. See attached screenshot for explanation: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05263" cy="219037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190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95738" cy="220467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20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36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Onboarding v1 – 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https://tabs.rewatch.com/video/x8cplq61by5559wv-stephen-praast-and-matthew-skoro-may-9-2024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ohammad Hamza" w:id="0" w:date="2024-06-13T22:26:47Z"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@abernstein@tabsplatform.com Hi, i have came across a contract with semi annual term. Kindly guide whether terms mentioned in MIS are only default term we should use in processing contracts.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abernstein@tabsplatform.com_</w:t>
      </w:r>
    </w:p>
  </w:comment>
  <w:comment w:author="Mohammad Hamza" w:id="1" w:date="2024-06-13T22:27:45Z"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looping in @gssuri@tabsplatform.com</w:t>
      </w:r>
    </w:p>
  </w:comment>
  <w:comment w:author="Ariel Bernstein" w:id="2" w:date="2024-06-14T12:56:39Z"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generalization, please go by the what the contract says first. Thank you!</w:t>
      </w:r>
    </w:p>
  </w:comment>
  <w:comment w:author="Arjun Gopalratnam" w:id="3" w:date="2024-07-02T00:52:19Z"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instruction for statsig. please keep quantities as 1 and instead put the giant numbers in the description field. lmk if you have questions.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gssuri@tabsplatform.com_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s://tabs.rewatch.com/video/x8cplq61by5559wv-stephen-praast-and-matthew-skoro-may-9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presentation/d/1VT8j0XUPSvQu7MAf6VBlp6_GOnZHIdgJhBza0nfWmOw/edit#slide=id.g2c88f679b37_0_41" TargetMode="External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mailto:lauren@statsig.com" TargetMode="External"/><Relationship Id="rId8" Type="http://schemas.openxmlformats.org/officeDocument/2006/relationships/hyperlink" Target="mailto:stephen@statsig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RobotoMono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