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Xeal Energy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May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Jul 15,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811317628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2346368"/>
          <w:dropDownList w:lastValue="Arjun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Arjun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471048953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257796261"/>
          <w:dropDownList w:lastValue="Avalara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Carl Rojas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RevOps: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Joan Dunne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Xeal sells electric car chargers to apartment buildings. They charge for the hardware and also charge an annual license for the software. Drivers 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that they don’t feel the need to exercise it?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  <w:t xml:space="preserve">1) What is Merchant Temperament?</w:t>
        <w:br w:type="textWrapping"/>
        <w:t xml:space="preserve">2) Is there key POC the buyer/decision maker?</w:t>
        <w:br w:type="textWrapping"/>
        <w:t xml:space="preserve">3) What are the Tabs features the key POC care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ymdiz825wd3r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2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E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carl@xealenergy.com" TargetMode="External"/><Relationship Id="rId7" Type="http://schemas.openxmlformats.org/officeDocument/2006/relationships/hyperlink" Target="mailto:joan@xealenergy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