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y8ya0p1dm73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0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1"/>
      <w:bookmarkEnd w:id="1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Jun 20,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Jun 26,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Jul 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92689258"/>
          <w:dropDownList w:lastValue="Nick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  <w:listItem w:displayText="Nick" w:value="Nick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Nick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987847430"/>
          <w:dropDownList w:lastValue="Ariel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Ariel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110319406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254062469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John Bowman, Chief Business Officer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John Bowman, Chief Business Officer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Bryan Champ, SVP of Sales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accounting@maybern.com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accounting@maybern.com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Maybern is an enterprise software company designed to digitize investment management processes and simply fund operations. They provide a platform to Funds to streamline operations and reinvest their resources.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1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need to use Tabs as the contract repository and escalate key terms across their client base. Currently doing this in Sheets/Google Drive. Will use tabs for all invoicing and reporting as well. Moving all finance operations for AR to Tabs. </w:t>
        <w:br w:type="textWrapping"/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AE Notes</w:t>
      </w:r>
    </w:p>
    <w:p w:rsidR="00000000" w:rsidDel="00000000" w:rsidP="00000000" w:rsidRDefault="00000000" w:rsidRPr="00000000" w14:paraId="0000001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relationship information</w:t>
        <w:br w:type="textWrapping"/>
        <w:br w:type="textWrapping"/>
        <w:t xml:space="preserve">1) What is Merchant Temperament?</w:t>
      </w:r>
    </w:p>
    <w:p w:rsidR="00000000" w:rsidDel="00000000" w:rsidP="00000000" w:rsidRDefault="00000000" w:rsidRPr="00000000" w14:paraId="0000001C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John will be the main POC for Tabs. He is very easy to work with and this is a fellow primary PortCo. John was hired on a part time basis, but is practically working full time as their COO now.</w:t>
      </w:r>
    </w:p>
    <w:p w:rsidR="00000000" w:rsidDel="00000000" w:rsidP="00000000" w:rsidRDefault="00000000" w:rsidRPr="00000000" w14:paraId="0000001D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2) Is there a key POC for the buyer/decision maker?</w:t>
      </w:r>
    </w:p>
    <w:p w:rsidR="00000000" w:rsidDel="00000000" w:rsidP="00000000" w:rsidRDefault="00000000" w:rsidRPr="00000000" w14:paraId="0000001E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John Bowman, Chief Business Officer, and Bryan Champ, SVP of Sales</w:t>
      </w:r>
    </w:p>
    <w:p w:rsidR="00000000" w:rsidDel="00000000" w:rsidP="00000000" w:rsidRDefault="00000000" w:rsidRPr="00000000" w14:paraId="0000001F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3) What are the Tabs features the key POC cares about?</w:t>
      </w:r>
    </w:p>
    <w:p w:rsidR="00000000" w:rsidDel="00000000" w:rsidP="00000000" w:rsidRDefault="00000000" w:rsidRPr="00000000" w14:paraId="00000020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Storage, Invoicing, Reporting, Usage Data upload</w:t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 on how merchant bills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Quarterly with usage data (they take a Basis Point percentage on fund size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fee, quarterly billing on usage data, multi year contracts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merchant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One person finance team. Pull fund size usage data into a CSV that they will upload. Only have 5 contracts today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new customers, both a parent and sub should be created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Sub should be the fund name</w:t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BTs should be created under the subcustomer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fees</w:t>
      </w:r>
    </w:p>
    <w:p w:rsidR="00000000" w:rsidDel="00000000" w:rsidP="00000000" w:rsidRDefault="00000000" w:rsidRPr="00000000" w14:paraId="0000002E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fund should be its own BT for implementation</w:t>
      </w:r>
    </w:p>
    <w:p w:rsidR="00000000" w:rsidDel="00000000" w:rsidP="00000000" w:rsidRDefault="00000000" w:rsidRPr="00000000" w14:paraId="0000002F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is usually split into</w:t>
      </w:r>
      <w:r w:rsidDel="00000000" w:rsidR="00000000" w:rsidRPr="00000000">
        <w:rPr>
          <w:sz w:val="20"/>
          <w:szCs w:val="20"/>
          <w:rtl w:val="0"/>
        </w:rPr>
        <w:t xml:space="preserve"> two 50%</w:t>
      </w:r>
      <w:r w:rsidDel="00000000" w:rsidR="00000000" w:rsidRPr="00000000">
        <w:rPr>
          <w:sz w:val="20"/>
          <w:szCs w:val="20"/>
          <w:rtl w:val="0"/>
        </w:rPr>
        <w:t xml:space="preserve"> payments</w:t>
      </w:r>
    </w:p>
    <w:p w:rsidR="00000000" w:rsidDel="00000000" w:rsidP="00000000" w:rsidRDefault="00000000" w:rsidRPr="00000000" w14:paraId="00000030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if there are 4 funds, then there should be 8 total BTs for implementation, 50% of the amount for each</w:t>
      </w:r>
    </w:p>
    <w:p w:rsidR="00000000" w:rsidDel="00000000" w:rsidP="00000000" w:rsidRDefault="00000000" w:rsidRPr="00000000" w14:paraId="00000031">
      <w:pPr>
        <w:numPr>
          <w:ilvl w:val="3"/>
          <w:numId w:val="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 4 are for effective date</w:t>
      </w:r>
    </w:p>
    <w:p w:rsidR="00000000" w:rsidDel="00000000" w:rsidP="00000000" w:rsidRDefault="00000000" w:rsidRPr="00000000" w14:paraId="00000032">
      <w:pPr>
        <w:numPr>
          <w:ilvl w:val="3"/>
          <w:numId w:val="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Second start on access start date. </w:t>
      </w:r>
    </w:p>
    <w:p w:rsidR="00000000" w:rsidDel="00000000" w:rsidP="00000000" w:rsidRDefault="00000000" w:rsidRPr="00000000" w14:paraId="00000033">
      <w:pPr>
        <w:numPr>
          <w:ilvl w:val="4"/>
          <w:numId w:val="5"/>
        </w:numPr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is sometimes outlined in the contract, but if not then default to 6 months from effective date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rest are usage based BTs</w:t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can just follow the simple % stated in the contract instead of the 0.000025 per unit process we had before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the fund estimates, these are usage based terms that will be calculated quarterly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Sometimes there will be 2 documents for a customer: An MSA and an Order Form. MSA has payment terms and Order Form has billing terms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He is going to try to put these into a single document when he can, but might not always be able to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Quarterly (except for implementation, which is 2 invoices defaulted to 6 months apart if not specified)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use 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based billing to calculate AUM fee for the funds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is called out in the contracts in a few ways: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a chart that states the basis point</w:t>
      </w:r>
    </w:p>
    <w:p w:rsidR="00000000" w:rsidDel="00000000" w:rsidP="00000000" w:rsidRDefault="00000000" w:rsidRPr="00000000" w14:paraId="00000047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14950" cy="11525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Or in a paragraph called out in a percentage</w:t>
      </w:r>
    </w:p>
    <w:p w:rsidR="00000000" w:rsidDel="00000000" w:rsidP="00000000" w:rsidRDefault="00000000" w:rsidRPr="00000000" w14:paraId="00000049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81650" cy="8572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Sometimes, there might also be a tiered model (as in the image above).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 process the first tier.</w:t>
      </w:r>
      <w:r w:rsidDel="00000000" w:rsidR="00000000" w:rsidRPr="00000000">
        <w:rPr>
          <w:sz w:val="20"/>
          <w:szCs w:val="20"/>
          <w:rtl w:val="0"/>
        </w:rPr>
        <w:t xml:space="preserve"> In the example above, 1 basis point is the one to process. Ignore .75 basis point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structure is for the entire year, so 1 basis point per year.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These BTs should look like this (example image below)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Title: Fund Service Fee for [Name of Fund]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Fund Service Fee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Amount: percentage that is reflect of the basis point: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 basis point = 0.000025 (1 basis point/4 quarterly payments)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.75 basis point = 0.00001875 (.75 basis point/4 quarterly payments)</w:t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.5 basis point = 0.0000125 (.5 basis point/4 quarterly payments)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***BE SURE TO UNCHECK “IS BILLED IN ARREARS”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These are NOT billed in arrears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Quarterly billing cadence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first fund service fee should go out right after the 2nd implementation fee. Because usage bills are in arrears, the period start date for these terms should be 3 months prior to the 2nd implementation fee invoice date.</w:t>
      </w:r>
    </w:p>
    <w:p w:rsidR="00000000" w:rsidDel="00000000" w:rsidP="00000000" w:rsidRDefault="00000000" w:rsidRPr="00000000" w14:paraId="00000057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example:</w:t>
      </w:r>
      <w:r w:rsidDel="00000000" w:rsidR="00000000" w:rsidRPr="00000000">
        <w:rPr>
          <w:sz w:val="20"/>
          <w:szCs w:val="20"/>
          <w:rtl w:val="0"/>
        </w:rPr>
        <w:t xml:space="preserve"> If the 2nd implementation invoices go out 5/31, then the usage BTs should start from 3/1, so the first invoices for this term go out 6/1, a day after the 2nd implementation fee invoice.</w:t>
      </w:r>
    </w:p>
    <w:p w:rsidR="00000000" w:rsidDel="00000000" w:rsidP="00000000" w:rsidRDefault="00000000" w:rsidRPr="00000000" w14:paraId="00000058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05438" cy="158524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58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5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BTs: Fund Service Fee</w:t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Implementation: Implementation Fee Non-taxable (he will change to taxable one if need to charge tax)</w:t>
      </w:r>
    </w:p>
    <w:p w:rsidR="00000000" w:rsidDel="00000000" w:rsidP="00000000" w:rsidRDefault="00000000" w:rsidRPr="00000000" w14:paraId="0000006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6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Does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6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9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Will want Logo on invoices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Some customer will want the BTs separated into different invoices. Currently working on a way to solve this for them, no instructions for Ops on this right now</w:t>
      </w:r>
    </w:p>
    <w:p w:rsidR="00000000" w:rsidDel="00000000" w:rsidP="00000000" w:rsidRDefault="00000000" w:rsidRPr="00000000" w14:paraId="0000006C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Escalation of renewals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Visibility into contract end data and important key dates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Medium urgency. They are contracted for a year with us</w:t>
      </w:r>
    </w:p>
    <w:p w:rsidR="00000000" w:rsidDel="00000000" w:rsidP="00000000" w:rsidRDefault="00000000" w:rsidRPr="00000000" w14:paraId="0000007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June 5th, 2024 Intro Call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https://tabs.rewatch.com/video/035bd5l6jtkqqic6-bryan-and-rebecca-schwartz-tabs-june-5-2024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June 26th, 2024 Proposal Review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https://tabs.rewatch.com/video/hf04vcnv4a5627a0-maybern-tabs-proposal-sync-june-26-2024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tabs.rewatch.com/video/hf04vcnv4a5627a0-maybern-tabs-proposal-sync-june-26-2024" TargetMode="External"/><Relationship Id="rId12" Type="http://schemas.openxmlformats.org/officeDocument/2006/relationships/footer" Target="footer1.xml"/><Relationship Id="rId9" Type="http://schemas.openxmlformats.org/officeDocument/2006/relationships/hyperlink" Target="https://tabs.rewatch.com/video/035bd5l6jtkqqic6-bryan-and-rebecca-schwartz-tabs-june-5-2024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