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br w:type="textWrapping"/>
        <w:t xml:space="preserve">Scoping start date: </w:t>
      </w:r>
      <w:r w:rsidDel="00000000" w:rsidR="00000000" w:rsidRPr="00000000">
        <w:rPr>
          <w:sz w:val="20"/>
          <w:szCs w:val="20"/>
          <w:rtl w:val="0"/>
        </w:rPr>
        <w:t xml:space="preserve">Jun 27,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Jul 26,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Aug 5,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Implementation kickoff. Opt out if not SOC Type 2 compliant by June 2025, and SOC Type 1 compliant by September 2024.</w:t>
        <w:br w:type="textWrapping"/>
        <w:t xml:space="preserve">Go Live Date: </w:t>
      </w:r>
      <w:r w:rsidDel="00000000" w:rsidR="00000000" w:rsidRPr="00000000">
        <w:rPr>
          <w:sz w:val="20"/>
          <w:szCs w:val="20"/>
          <w:rtl w:val="0"/>
        </w:rPr>
        <w:t xml:space="preserve">Sep 1,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223683559"/>
          <w:dropDownList w:lastValue="Nick">
            <w:listItem w:displayText="Rebecca" w:value="Rebecca"/>
            <w:listItem w:displayText="Skoro" w:value="Skoro"/>
            <w:listItem w:displayText="Royce" w:value="Royce"/>
            <w:listItem w:displayText="Jarrett" w:value="Jarrett"/>
            <w:listItem w:displayText="Ben" w:value="Ben"/>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1163010389"/>
          <w:dropDownList w:lastValue="Royce">
            <w:listItem w:displayText="Royce" w:value="Royce"/>
            <w:listItem w:displayText="Ariel" w:value="Ariel"/>
            <w:listItem w:displayText="Arjun" w:value="Arjun"/>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567976466"/>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711719529"/>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Areeb Urfani, Senior Manager (Finance) and Shadid Talukder, Senior FP&amp;A Analyst</w:t>
      </w:r>
    </w:p>
    <w:p w:rsidR="00000000" w:rsidDel="00000000" w:rsidP="00000000" w:rsidRDefault="00000000" w:rsidRPr="00000000" w14:paraId="0000000D">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Alamin Mollick, CFO</w:t>
      </w:r>
    </w:p>
    <w:p w:rsidR="00000000" w:rsidDel="00000000" w:rsidP="00000000" w:rsidRDefault="00000000" w:rsidRPr="00000000" w14:paraId="0000000E">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Areeb and Shadid</w:t>
      </w:r>
    </w:p>
    <w:p w:rsidR="00000000" w:rsidDel="00000000" w:rsidP="00000000" w:rsidRDefault="00000000" w:rsidRPr="00000000" w14:paraId="0000000F">
      <w:pPr>
        <w:numPr>
          <w:ilvl w:val="0"/>
          <w:numId w:val="4"/>
        </w:numPr>
        <w:ind w:left="720" w:hanging="360"/>
        <w:rPr>
          <w:sz w:val="20"/>
          <w:szCs w:val="20"/>
        </w:rPr>
      </w:pPr>
      <w:r w:rsidDel="00000000" w:rsidR="00000000" w:rsidRPr="00000000">
        <w:rPr>
          <w:sz w:val="20"/>
          <w:szCs w:val="20"/>
          <w:rtl w:val="0"/>
        </w:rPr>
        <w:t xml:space="preserve">Account Receivable POC: Areeb</w:t>
      </w:r>
    </w:p>
    <w:p w:rsidR="00000000" w:rsidDel="00000000" w:rsidP="00000000" w:rsidRDefault="00000000" w:rsidRPr="00000000" w14:paraId="00000010">
      <w:pPr>
        <w:numPr>
          <w:ilvl w:val="0"/>
          <w:numId w:val="4"/>
        </w:numPr>
        <w:ind w:left="720" w:hanging="360"/>
        <w:rPr>
          <w:sz w:val="20"/>
          <w:szCs w:val="20"/>
        </w:rPr>
      </w:pPr>
      <w:r w:rsidDel="00000000" w:rsidR="00000000" w:rsidRPr="00000000">
        <w:rPr>
          <w:sz w:val="20"/>
          <w:szCs w:val="20"/>
          <w:rtl w:val="0"/>
        </w:rPr>
        <w:t xml:space="preserve">Billing POC: Areeb</w:t>
      </w:r>
      <w:r w:rsidDel="00000000" w:rsidR="00000000" w:rsidRPr="00000000">
        <w:rPr>
          <w:rtl w:val="0"/>
        </w:rPr>
      </w:r>
    </w:p>
    <w:p w:rsidR="00000000" w:rsidDel="00000000" w:rsidP="00000000" w:rsidRDefault="00000000" w:rsidRPr="00000000" w14:paraId="00000011">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2">
      <w:pPr>
        <w:pStyle w:val="Heading3"/>
        <w:rPr>
          <w:sz w:val="20"/>
          <w:szCs w:val="20"/>
        </w:rPr>
      </w:pPr>
      <w:bookmarkStart w:colFirst="0" w:colLast="0" w:name="_eyd60qhnw16"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tl w:val="0"/>
        </w:rPr>
        <w:t xml:space="preserve">AI for customer experience:</w:t>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tl w:val="0"/>
        </w:rPr>
        <w:t xml:space="preserve">Customer experience defines your reputation, success, and longevity in today’s banking environment. Don’t ask users to settle for less; empower them to self-serve any time of the day through AI designed for your financial institution.</w:t>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sz w:val="20"/>
          <w:szCs w:val="20"/>
          <w:rtl w:val="0"/>
        </w:rPr>
        <w:t xml:space="preserve">Customer-assisted AI, available through voice and digital channels, offers quick and user-friendly solutions. Customers can obtain information 24/7,  be routed to a human easily for more complex needs, while also receiving a greater experience from an expert who has all the information they need at their fingertips. Our AI solutions ensure reduced call transfer, reduce and remove wait times, improve first call resolution and opens doors to new prospects.</w:t>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B">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sz w:val="20"/>
          <w:szCs w:val="20"/>
          <w:rtl w:val="0"/>
        </w:rPr>
        <w:t xml:space="preserve">They are a scaling business that has complexity across their contracts. They bill for implementation, subscription, and usage based billing for # of calls. Manually sending invoices out of QBO and calculating billing in a google sheet. Using us for contract management and building the billing schedules. Not using usage billing today, but moving towards it.</w:t>
        <w:br w:type="textWrapping"/>
        <w:br w:type="textWrapping"/>
      </w:r>
      <w:r w:rsidDel="00000000" w:rsidR="00000000" w:rsidRPr="00000000">
        <w:rPr>
          <w:sz w:val="20"/>
          <w:szCs w:val="20"/>
          <w:rtl w:val="0"/>
        </w:rPr>
        <w:t xml:space="preserve">Is there an opt out clause? If so, what is the merchant looking for so that they don’t feel the need to exercise it?</w:t>
      </w: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Opt out waived at start of implementation. Also can opt out of contract if we are not SOC Type 2 compliant by June 2025, and SOC Type 1 compliant by September 2024.</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2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w:t>
      </w:r>
    </w:p>
    <w:p w:rsidR="00000000" w:rsidDel="00000000" w:rsidP="00000000" w:rsidRDefault="00000000" w:rsidRPr="00000000" w14:paraId="00000023">
      <w:pPr>
        <w:rPr>
          <w:sz w:val="20"/>
          <w:szCs w:val="20"/>
        </w:rPr>
      </w:pPr>
      <w:r w:rsidDel="00000000" w:rsidR="00000000" w:rsidRPr="00000000">
        <w:rPr>
          <w:sz w:val="20"/>
          <w:szCs w:val="20"/>
          <w:rtl w:val="0"/>
        </w:rPr>
        <w:t xml:space="preserve">Areeb is very smart and has a great relationship with Ali. Shadid has evaluated every other competitor in the industry and never moved forward. They are very technical - easy to work with just have a tendency to continue to dig if we don’t put up boundaries.</w:t>
      </w:r>
    </w:p>
    <w:p w:rsidR="00000000" w:rsidDel="00000000" w:rsidP="00000000" w:rsidRDefault="00000000" w:rsidRPr="00000000" w14:paraId="00000024">
      <w:pPr>
        <w:rPr>
          <w:sz w:val="20"/>
          <w:szCs w:val="20"/>
        </w:rPr>
      </w:pPr>
      <w:r w:rsidDel="00000000" w:rsidR="00000000" w:rsidRPr="00000000">
        <w:rPr>
          <w:sz w:val="20"/>
          <w:szCs w:val="20"/>
          <w:rtl w:val="0"/>
        </w:rPr>
        <w:br w:type="textWrapping"/>
        <w:t xml:space="preserve">2) Is the key POC the buyer/decision maker?</w:t>
      </w:r>
    </w:p>
    <w:p w:rsidR="00000000" w:rsidDel="00000000" w:rsidP="00000000" w:rsidRDefault="00000000" w:rsidRPr="00000000" w14:paraId="00000025">
      <w:pPr>
        <w:rPr>
          <w:sz w:val="20"/>
          <w:szCs w:val="20"/>
        </w:rPr>
      </w:pPr>
      <w:r w:rsidDel="00000000" w:rsidR="00000000" w:rsidRPr="00000000">
        <w:rPr>
          <w:sz w:val="20"/>
          <w:szCs w:val="20"/>
          <w:rtl w:val="0"/>
        </w:rPr>
        <w:t xml:space="preserve">Areeb Urfani and Shadid Talukder</w:t>
      </w:r>
    </w:p>
    <w:p w:rsidR="00000000" w:rsidDel="00000000" w:rsidP="00000000" w:rsidRDefault="00000000" w:rsidRPr="00000000" w14:paraId="00000026">
      <w:pPr>
        <w:rPr>
          <w:sz w:val="20"/>
          <w:szCs w:val="20"/>
        </w:rPr>
      </w:pPr>
      <w:r w:rsidDel="00000000" w:rsidR="00000000" w:rsidRPr="00000000">
        <w:rPr>
          <w:sz w:val="20"/>
          <w:szCs w:val="20"/>
          <w:rtl w:val="0"/>
        </w:rPr>
        <w:br w:type="textWrapping"/>
        <w:t xml:space="preserve">3) What are the Tabs features the key POC care about?</w:t>
      </w:r>
    </w:p>
    <w:p w:rsidR="00000000" w:rsidDel="00000000" w:rsidP="00000000" w:rsidRDefault="00000000" w:rsidRPr="00000000" w14:paraId="00000027">
      <w:pPr>
        <w:rPr>
          <w:sz w:val="20"/>
          <w:szCs w:val="20"/>
        </w:rPr>
      </w:pPr>
      <w:r w:rsidDel="00000000" w:rsidR="00000000" w:rsidRPr="00000000">
        <w:rPr>
          <w:sz w:val="20"/>
          <w:szCs w:val="20"/>
          <w:rtl w:val="0"/>
        </w:rPr>
        <w:t xml:space="preserve">Contract Management. Billing Schedules. QBO Sync. Usage billing inputs</w:t>
      </w:r>
    </w:p>
    <w:p w:rsidR="00000000" w:rsidDel="00000000" w:rsidP="00000000" w:rsidRDefault="00000000" w:rsidRPr="00000000" w14:paraId="00000028">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29">
      <w:pPr>
        <w:numPr>
          <w:ilvl w:val="0"/>
          <w:numId w:val="1"/>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2A">
      <w:pPr>
        <w:rPr>
          <w:sz w:val="20"/>
          <w:szCs w:val="20"/>
        </w:rPr>
      </w:pPr>
      <w:r w:rsidDel="00000000" w:rsidR="00000000" w:rsidRPr="00000000">
        <w:rPr>
          <w:sz w:val="20"/>
          <w:szCs w:val="20"/>
          <w:rtl w:val="0"/>
        </w:rPr>
        <w:t xml:space="preserve">Flat fee implementation and subscription. Usage billing for # of API calls and # of calls</w:t>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numPr>
          <w:ilvl w:val="0"/>
          <w:numId w:val="1"/>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D">
      <w:pPr>
        <w:rPr>
          <w:sz w:val="20"/>
          <w:szCs w:val="20"/>
        </w:rPr>
      </w:pPr>
      <w:r w:rsidDel="00000000" w:rsidR="00000000" w:rsidRPr="00000000">
        <w:rPr>
          <w:sz w:val="20"/>
          <w:szCs w:val="20"/>
          <w:rtl w:val="0"/>
        </w:rPr>
        <w:t xml:space="preserve">MSA and OF are separate. OF includes billable items. 2 pages of items to be billed. Net 30 generally and monthly.</w:t>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numPr>
          <w:ilvl w:val="0"/>
          <w:numId w:val="1"/>
        </w:numPr>
        <w:ind w:left="720" w:hanging="360"/>
        <w:rPr>
          <w:sz w:val="20"/>
          <w:szCs w:val="20"/>
        </w:rPr>
      </w:pPr>
      <w:r w:rsidDel="00000000" w:rsidR="00000000" w:rsidRPr="00000000">
        <w:rPr>
          <w:sz w:val="20"/>
          <w:szCs w:val="20"/>
          <w:rtl w:val="0"/>
        </w:rPr>
        <w:t xml:space="preserve">One off things to know about merchant</w:t>
      </w:r>
    </w:p>
    <w:p w:rsidR="00000000" w:rsidDel="00000000" w:rsidP="00000000" w:rsidRDefault="00000000" w:rsidRPr="00000000" w14:paraId="00000030">
      <w:pPr>
        <w:rPr>
          <w:sz w:val="20"/>
          <w:szCs w:val="20"/>
        </w:rPr>
      </w:pPr>
      <w:r w:rsidDel="00000000" w:rsidR="00000000" w:rsidRPr="00000000">
        <w:rPr>
          <w:sz w:val="20"/>
          <w:szCs w:val="20"/>
          <w:rtl w:val="0"/>
        </w:rPr>
        <w:t xml:space="preserve">Hiring a new controller who will be a main user of Tabs. Onboarding this new rep in early August.</w:t>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4">
      <w:pPr>
        <w:pStyle w:val="Heading3"/>
        <w:rPr>
          <w:sz w:val="20"/>
          <w:szCs w:val="20"/>
        </w:rPr>
      </w:pPr>
      <w:bookmarkStart w:colFirst="0" w:colLast="0" w:name="_ymdiz825wd3r" w:id="6"/>
      <w:bookmarkEnd w:id="6"/>
      <w:r w:rsidDel="00000000" w:rsidR="00000000" w:rsidRPr="00000000">
        <w:rPr>
          <w:sz w:val="20"/>
          <w:szCs w:val="20"/>
          <w:rtl w:val="0"/>
        </w:rPr>
        <w:t xml:space="preserve">Billing model</w:t>
      </w:r>
    </w:p>
    <w:p w:rsidR="00000000" w:rsidDel="00000000" w:rsidP="00000000" w:rsidRDefault="00000000" w:rsidRPr="00000000" w14:paraId="00000035">
      <w:pPr>
        <w:numPr>
          <w:ilvl w:val="0"/>
          <w:numId w:val="1"/>
        </w:numPr>
        <w:ind w:left="720" w:hanging="360"/>
        <w:rPr>
          <w:sz w:val="20"/>
          <w:szCs w:val="20"/>
        </w:rPr>
      </w:pPr>
      <w:r w:rsidDel="00000000" w:rsidR="00000000" w:rsidRPr="00000000">
        <w:rPr>
          <w:sz w:val="20"/>
          <w:szCs w:val="20"/>
          <w:rtl w:val="0"/>
        </w:rPr>
        <w:t xml:space="preserve">Are the unique things about the customer creation process for this merchant?</w:t>
      </w:r>
    </w:p>
    <w:p w:rsidR="00000000" w:rsidDel="00000000" w:rsidP="00000000" w:rsidRDefault="00000000" w:rsidRPr="00000000" w14:paraId="00000036">
      <w:pPr>
        <w:ind w:left="0" w:firstLine="0"/>
        <w:rPr>
          <w:sz w:val="20"/>
          <w:szCs w:val="20"/>
        </w:rPr>
      </w:pP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3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38">
      <w:pPr>
        <w:numPr>
          <w:ilvl w:val="0"/>
          <w:numId w:val="5"/>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9">
      <w:pPr>
        <w:numPr>
          <w:ilvl w:val="0"/>
          <w:numId w:val="5"/>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3A">
      <w:pPr>
        <w:numPr>
          <w:ilvl w:val="0"/>
          <w:numId w:val="5"/>
        </w:numPr>
        <w:ind w:left="720" w:hanging="360"/>
        <w:rPr>
          <w:sz w:val="20"/>
          <w:szCs w:val="20"/>
        </w:rPr>
      </w:pPr>
      <w:r w:rsidDel="00000000" w:rsidR="00000000" w:rsidRPr="00000000">
        <w:rPr>
          <w:sz w:val="20"/>
          <w:szCs w:val="20"/>
          <w:rtl w:val="0"/>
        </w:rPr>
        <w:t xml:space="preserve">Specifics processing things merchant has requested that may differ by contract (e.g. always back-date invoice date to final day of the month)</w:t>
      </w:r>
    </w:p>
    <w:p w:rsidR="00000000" w:rsidDel="00000000" w:rsidP="00000000" w:rsidRDefault="00000000" w:rsidRPr="00000000" w14:paraId="0000003B">
      <w:pPr>
        <w:numPr>
          <w:ilvl w:val="0"/>
          <w:numId w:val="5"/>
        </w:numPr>
        <w:ind w:left="720" w:hanging="360"/>
        <w:rPr>
          <w:sz w:val="20"/>
          <w:szCs w:val="20"/>
          <w:u w:val="none"/>
        </w:rPr>
      </w:pPr>
      <w:r w:rsidDel="00000000" w:rsidR="00000000" w:rsidRPr="00000000">
        <w:rPr>
          <w:sz w:val="20"/>
          <w:szCs w:val="20"/>
          <w:rtl w:val="0"/>
        </w:rPr>
        <w:t xml:space="preserve">Default Service Term</w:t>
      </w:r>
    </w:p>
    <w:p w:rsidR="00000000" w:rsidDel="00000000" w:rsidP="00000000" w:rsidRDefault="00000000" w:rsidRPr="00000000" w14:paraId="0000003C">
      <w:pPr>
        <w:numPr>
          <w:ilvl w:val="1"/>
          <w:numId w:val="5"/>
        </w:numPr>
        <w:ind w:left="1440" w:hanging="360"/>
        <w:rPr>
          <w:sz w:val="20"/>
          <w:szCs w:val="20"/>
          <w:u w:val="none"/>
        </w:rPr>
      </w:pPr>
      <w:r w:rsidDel="00000000" w:rsidR="00000000" w:rsidRPr="00000000">
        <w:rPr>
          <w:sz w:val="20"/>
          <w:szCs w:val="20"/>
          <w:rtl w:val="0"/>
        </w:rPr>
        <w:t xml:space="preserve">If None Listed, Ops Default is 1 Year</w:t>
      </w:r>
    </w:p>
    <w:p w:rsidR="00000000" w:rsidDel="00000000" w:rsidP="00000000" w:rsidRDefault="00000000" w:rsidRPr="00000000" w14:paraId="0000003D">
      <w:pPr>
        <w:numPr>
          <w:ilvl w:val="0"/>
          <w:numId w:val="5"/>
        </w:numPr>
        <w:ind w:left="720" w:hanging="360"/>
        <w:rPr>
          <w:sz w:val="20"/>
          <w:szCs w:val="20"/>
          <w:u w:val="none"/>
        </w:rPr>
      </w:pPr>
      <w:r w:rsidDel="00000000" w:rsidR="00000000" w:rsidRPr="00000000">
        <w:rPr>
          <w:sz w:val="20"/>
          <w:szCs w:val="20"/>
          <w:rtl w:val="0"/>
        </w:rPr>
        <w:t xml:space="preserve">Default Net Payment Terms </w:t>
      </w:r>
    </w:p>
    <w:p w:rsidR="00000000" w:rsidDel="00000000" w:rsidP="00000000" w:rsidRDefault="00000000" w:rsidRPr="00000000" w14:paraId="0000003E">
      <w:pPr>
        <w:numPr>
          <w:ilvl w:val="1"/>
          <w:numId w:val="5"/>
        </w:numPr>
        <w:ind w:left="1440" w:hanging="360"/>
        <w:rPr>
          <w:sz w:val="20"/>
          <w:szCs w:val="20"/>
        </w:rPr>
      </w:pPr>
      <w:r w:rsidDel="00000000" w:rsidR="00000000" w:rsidRPr="00000000">
        <w:rPr>
          <w:sz w:val="20"/>
          <w:szCs w:val="20"/>
          <w:rtl w:val="0"/>
        </w:rPr>
        <w:t xml:space="preserve">If None, Ops Default is 0</w:t>
      </w:r>
    </w:p>
    <w:p w:rsidR="00000000" w:rsidDel="00000000" w:rsidP="00000000" w:rsidRDefault="00000000" w:rsidRPr="00000000" w14:paraId="0000003F">
      <w:pPr>
        <w:numPr>
          <w:ilvl w:val="0"/>
          <w:numId w:val="5"/>
        </w:numPr>
        <w:ind w:left="720" w:hanging="360"/>
        <w:rPr>
          <w:sz w:val="20"/>
          <w:szCs w:val="20"/>
          <w:u w:val="none"/>
        </w:rPr>
      </w:pPr>
      <w:r w:rsidDel="00000000" w:rsidR="00000000" w:rsidRPr="00000000">
        <w:rPr>
          <w:sz w:val="20"/>
          <w:szCs w:val="20"/>
          <w:rtl w:val="0"/>
        </w:rPr>
        <w:t xml:space="preserve">Default Billing Frequency </w:t>
      </w:r>
    </w:p>
    <w:p w:rsidR="00000000" w:rsidDel="00000000" w:rsidP="00000000" w:rsidRDefault="00000000" w:rsidRPr="00000000" w14:paraId="00000040">
      <w:pPr>
        <w:numPr>
          <w:ilvl w:val="1"/>
          <w:numId w:val="5"/>
        </w:numPr>
        <w:ind w:left="1440" w:hanging="360"/>
        <w:rPr>
          <w:sz w:val="20"/>
          <w:szCs w:val="20"/>
          <w:u w:val="none"/>
        </w:rPr>
      </w:pPr>
      <w:r w:rsidDel="00000000" w:rsidR="00000000" w:rsidRPr="00000000">
        <w:rPr>
          <w:sz w:val="20"/>
          <w:szCs w:val="20"/>
          <w:rtl w:val="0"/>
        </w:rPr>
        <w:t xml:space="preserve">If None Listed, Ops Default is Monthly</w:t>
      </w:r>
    </w:p>
    <w:p w:rsidR="00000000" w:rsidDel="00000000" w:rsidP="00000000" w:rsidRDefault="00000000" w:rsidRPr="00000000" w14:paraId="00000041">
      <w:pPr>
        <w:numPr>
          <w:ilvl w:val="0"/>
          <w:numId w:val="5"/>
        </w:numPr>
        <w:ind w:left="720" w:hanging="360"/>
        <w:rPr>
          <w:sz w:val="20"/>
          <w:szCs w:val="20"/>
          <w:u w:val="none"/>
        </w:rPr>
      </w:pPr>
      <w:r w:rsidDel="00000000" w:rsidR="00000000" w:rsidRPr="00000000">
        <w:rPr>
          <w:sz w:val="20"/>
          <w:szCs w:val="20"/>
          <w:rtl w:val="0"/>
        </w:rPr>
        <w:t xml:space="preserve">How do we handle taxes as a line item?</w:t>
      </w:r>
    </w:p>
    <w:p w:rsidR="00000000" w:rsidDel="00000000" w:rsidP="00000000" w:rsidRDefault="00000000" w:rsidRPr="00000000" w14:paraId="00000042">
      <w:pPr>
        <w:numPr>
          <w:ilvl w:val="1"/>
          <w:numId w:val="5"/>
        </w:numPr>
        <w:ind w:left="1440" w:hanging="360"/>
        <w:rPr>
          <w:sz w:val="20"/>
          <w:szCs w:val="20"/>
          <w:u w:val="none"/>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43">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r>
    </w:p>
    <w:p w:rsidR="00000000" w:rsidDel="00000000" w:rsidP="00000000" w:rsidRDefault="00000000" w:rsidRPr="00000000" w14:paraId="00000044">
      <w:pPr>
        <w:numPr>
          <w:ilvl w:val="0"/>
          <w:numId w:val="2"/>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45">
      <w:pPr>
        <w:rPr>
          <w:sz w:val="20"/>
          <w:szCs w:val="20"/>
        </w:rPr>
      </w:pPr>
      <w:r w:rsidDel="00000000" w:rsidR="00000000" w:rsidRPr="00000000">
        <w:rPr>
          <w:sz w:val="20"/>
          <w:szCs w:val="20"/>
          <w:rtl w:val="0"/>
        </w:rPr>
        <w:t xml:space="preserve">They roll up multiple usage events into one billable item. Plan is for them to run this script in their sheet, then input this to Tabs to populate the invoices with one billable item for “usage”</w:t>
      </w:r>
    </w:p>
    <w:p w:rsidR="00000000" w:rsidDel="00000000" w:rsidP="00000000" w:rsidRDefault="00000000" w:rsidRPr="00000000" w14:paraId="00000046">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47">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8">
      <w:pPr>
        <w:numPr>
          <w:ilvl w:val="0"/>
          <w:numId w:val="6"/>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49">
      <w:pPr>
        <w:numPr>
          <w:ilvl w:val="0"/>
          <w:numId w:val="6"/>
        </w:numPr>
        <w:ind w:left="720" w:hanging="360"/>
        <w:rPr>
          <w:sz w:val="20"/>
          <w:szCs w:val="20"/>
          <w:u w:val="none"/>
        </w:rPr>
      </w:pPr>
      <w:r w:rsidDel="00000000" w:rsidR="00000000" w:rsidRPr="00000000">
        <w:rPr>
          <w:sz w:val="20"/>
          <w:szCs w:val="20"/>
          <w:rtl w:val="0"/>
        </w:rPr>
        <w:t xml:space="preserve">Example: All Statsig integrations items should be labeled as “Sales”</w:t>
      </w:r>
    </w:p>
    <w:p w:rsidR="00000000" w:rsidDel="00000000" w:rsidP="00000000" w:rsidRDefault="00000000" w:rsidRPr="00000000" w14:paraId="0000004A">
      <w:pPr>
        <w:numPr>
          <w:ilvl w:val="0"/>
          <w:numId w:val="6"/>
        </w:numPr>
        <w:ind w:left="720" w:hanging="360"/>
        <w:rPr>
          <w:sz w:val="20"/>
          <w:szCs w:val="20"/>
          <w:u w:val="none"/>
        </w:rPr>
      </w:pPr>
      <w:r w:rsidDel="00000000" w:rsidR="00000000" w:rsidRPr="00000000">
        <w:rPr>
          <w:sz w:val="20"/>
          <w:szCs w:val="20"/>
          <w:rtl w:val="0"/>
        </w:rPr>
        <w:t xml:space="preserve">Example: All “Pinata” integration items should be labeled as “Software Subscription Bundle” unless otherwise noted by Merchant</w:t>
      </w:r>
    </w:p>
    <w:p w:rsidR="00000000" w:rsidDel="00000000" w:rsidP="00000000" w:rsidRDefault="00000000" w:rsidRPr="00000000" w14:paraId="0000004B">
      <w:pPr>
        <w:ind w:left="720" w:firstLine="0"/>
        <w:rPr>
          <w:sz w:val="20"/>
          <w:szCs w:val="20"/>
        </w:rPr>
      </w:pPr>
      <w:r w:rsidDel="00000000" w:rsidR="00000000" w:rsidRPr="00000000">
        <w:rPr>
          <w:rtl w:val="0"/>
        </w:rPr>
      </w:r>
    </w:p>
    <w:p w:rsidR="00000000" w:rsidDel="00000000" w:rsidP="00000000" w:rsidRDefault="00000000" w:rsidRPr="00000000" w14:paraId="0000004C">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4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E">
      <w:pPr>
        <w:numPr>
          <w:ilvl w:val="0"/>
          <w:numId w:val="3"/>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04F">
      <w:pPr>
        <w:numPr>
          <w:ilvl w:val="0"/>
          <w:numId w:val="3"/>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050">
      <w:pPr>
        <w:numPr>
          <w:ilvl w:val="1"/>
          <w:numId w:val="3"/>
        </w:numPr>
        <w:ind w:left="144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51">
      <w:pPr>
        <w:numPr>
          <w:ilvl w:val="2"/>
          <w:numId w:val="3"/>
        </w:numPr>
        <w:ind w:left="2160" w:hanging="360"/>
        <w:rPr>
          <w:sz w:val="20"/>
          <w:szCs w:val="20"/>
          <w:u w:val="none"/>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52">
      <w:pPr>
        <w:numPr>
          <w:ilvl w:val="2"/>
          <w:numId w:val="3"/>
        </w:numPr>
        <w:ind w:left="2160" w:hanging="360"/>
        <w:rPr>
          <w:sz w:val="20"/>
          <w:szCs w:val="20"/>
          <w:u w:val="none"/>
        </w:rPr>
      </w:pPr>
      <w:r w:rsidDel="00000000" w:rsidR="00000000" w:rsidRPr="00000000">
        <w:rPr>
          <w:sz w:val="20"/>
          <w:szCs w:val="20"/>
          <w:rtl w:val="0"/>
        </w:rPr>
        <w:t xml:space="preserve">Where: Messari internal merchant channel</w:t>
      </w:r>
    </w:p>
    <w:p w:rsidR="00000000" w:rsidDel="00000000" w:rsidP="00000000" w:rsidRDefault="00000000" w:rsidRPr="00000000" w14:paraId="00000053">
      <w:pPr>
        <w:numPr>
          <w:ilvl w:val="2"/>
          <w:numId w:val="3"/>
        </w:numPr>
        <w:ind w:left="2160" w:hanging="360"/>
        <w:rPr>
          <w:sz w:val="20"/>
          <w:szCs w:val="20"/>
          <w:u w:val="none"/>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54">
      <w:pPr>
        <w:ind w:left="720" w:firstLine="0"/>
        <w:rPr>
          <w:sz w:val="20"/>
          <w:szCs w:val="20"/>
        </w:rPr>
      </w:pPr>
      <w:r w:rsidDel="00000000" w:rsidR="00000000" w:rsidRPr="00000000">
        <w:rPr>
          <w:rtl w:val="0"/>
        </w:rPr>
      </w:r>
    </w:p>
    <w:p w:rsidR="00000000" w:rsidDel="00000000" w:rsidP="00000000" w:rsidRDefault="00000000" w:rsidRPr="00000000" w14:paraId="00000055">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r>
    </w:p>
    <w:p w:rsidR="00000000" w:rsidDel="00000000" w:rsidP="00000000" w:rsidRDefault="00000000" w:rsidRPr="00000000" w14:paraId="00000056">
      <w:pPr>
        <w:numPr>
          <w:ilvl w:val="0"/>
          <w:numId w:val="7"/>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57">
      <w:pPr>
        <w:numPr>
          <w:ilvl w:val="1"/>
          <w:numId w:val="7"/>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58">
      <w:pPr>
        <w:numPr>
          <w:ilvl w:val="1"/>
          <w:numId w:val="7"/>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59">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r>
    </w:p>
    <w:p w:rsidR="00000000" w:rsidDel="00000000" w:rsidP="00000000" w:rsidRDefault="00000000" w:rsidRPr="00000000" w14:paraId="0000005A">
      <w:pPr>
        <w:numPr>
          <w:ilvl w:val="0"/>
          <w:numId w:val="1"/>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5B">
      <w:pPr>
        <w:numPr>
          <w:ilvl w:val="1"/>
          <w:numId w:val="1"/>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05C">
      <w:pPr>
        <w:numPr>
          <w:ilvl w:val="1"/>
          <w:numId w:val="1"/>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05D">
      <w:pPr>
        <w:numPr>
          <w:ilvl w:val="1"/>
          <w:numId w:val="1"/>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05E">
      <w:pPr>
        <w:ind w:left="0" w:firstLine="0"/>
        <w:rPr>
          <w:sz w:val="20"/>
          <w:szCs w:val="20"/>
        </w:rPr>
      </w:pPr>
      <w:r w:rsidDel="00000000" w:rsidR="00000000" w:rsidRPr="00000000">
        <w:rPr>
          <w:rtl w:val="0"/>
        </w:rPr>
      </w:r>
    </w:p>
    <w:p w:rsidR="00000000" w:rsidDel="00000000" w:rsidP="00000000" w:rsidRDefault="00000000" w:rsidRPr="00000000" w14:paraId="0000005F">
      <w:pPr>
        <w:pStyle w:val="Heading3"/>
        <w:rPr>
          <w:sz w:val="20"/>
          <w:szCs w:val="20"/>
        </w:rPr>
      </w:pPr>
      <w:bookmarkStart w:colFirst="0" w:colLast="0" w:name="_oykkd54hcc96" w:id="11"/>
      <w:bookmarkEnd w:id="11"/>
      <w:r w:rsidDel="00000000" w:rsidR="00000000" w:rsidRPr="00000000">
        <w:rPr>
          <w:sz w:val="20"/>
          <w:szCs w:val="20"/>
          <w:rtl w:val="0"/>
        </w:rPr>
        <w:t xml:space="preserve">Rewatch Calls</w:t>
      </w:r>
    </w:p>
    <w:p w:rsidR="00000000" w:rsidDel="00000000" w:rsidP="00000000" w:rsidRDefault="00000000" w:rsidRPr="00000000" w14:paraId="00000060">
      <w:pPr>
        <w:numPr>
          <w:ilvl w:val="0"/>
          <w:numId w:val="1"/>
        </w:numPr>
        <w:ind w:left="720" w:hanging="360"/>
        <w:rPr>
          <w:sz w:val="20"/>
          <w:szCs w:val="20"/>
        </w:rPr>
      </w:pPr>
      <w:r w:rsidDel="00000000" w:rsidR="00000000" w:rsidRPr="00000000">
        <w:rPr>
          <w:sz w:val="20"/>
          <w:szCs w:val="20"/>
          <w:rtl w:val="0"/>
        </w:rPr>
        <w:t xml:space="preserve">Disco Call</w:t>
      </w:r>
    </w:p>
    <w:p w:rsidR="00000000" w:rsidDel="00000000" w:rsidP="00000000" w:rsidRDefault="00000000" w:rsidRPr="00000000" w14:paraId="00000061">
      <w:pPr>
        <w:numPr>
          <w:ilvl w:val="1"/>
          <w:numId w:val="1"/>
        </w:numPr>
        <w:ind w:left="1440" w:hanging="360"/>
        <w:rPr>
          <w:sz w:val="20"/>
          <w:szCs w:val="20"/>
          <w:u w:val="none"/>
        </w:rPr>
      </w:pPr>
      <w:hyperlink r:id="rId6">
        <w:r w:rsidDel="00000000" w:rsidR="00000000" w:rsidRPr="00000000">
          <w:rPr>
            <w:color w:val="1155cc"/>
            <w:sz w:val="20"/>
            <w:szCs w:val="20"/>
            <w:u w:val="single"/>
            <w:rtl w:val="0"/>
          </w:rPr>
          <w:t xml:space="preserve">https://tabs.rewatch.com/video/e8tq1rw4ddysufqn-hold-intro-to-tabs-june-10-2024</w:t>
        </w:r>
      </w:hyperlink>
      <w:r w:rsidDel="00000000" w:rsidR="00000000" w:rsidRPr="00000000">
        <w:rPr>
          <w:rtl w:val="0"/>
        </w:rPr>
      </w:r>
    </w:p>
    <w:p w:rsidR="00000000" w:rsidDel="00000000" w:rsidP="00000000" w:rsidRDefault="00000000" w:rsidRPr="00000000" w14:paraId="00000062">
      <w:pPr>
        <w:numPr>
          <w:ilvl w:val="0"/>
          <w:numId w:val="1"/>
        </w:numPr>
        <w:ind w:left="720" w:hanging="360"/>
        <w:rPr>
          <w:sz w:val="20"/>
          <w:szCs w:val="20"/>
          <w:u w:val="none"/>
        </w:rPr>
      </w:pPr>
      <w:r w:rsidDel="00000000" w:rsidR="00000000" w:rsidRPr="00000000">
        <w:rPr>
          <w:sz w:val="20"/>
          <w:szCs w:val="20"/>
          <w:rtl w:val="0"/>
        </w:rPr>
        <w:t xml:space="preserve">Demo Call</w:t>
      </w:r>
    </w:p>
    <w:p w:rsidR="00000000" w:rsidDel="00000000" w:rsidP="00000000" w:rsidRDefault="00000000" w:rsidRPr="00000000" w14:paraId="00000063">
      <w:pPr>
        <w:numPr>
          <w:ilvl w:val="1"/>
          <w:numId w:val="1"/>
        </w:numPr>
        <w:ind w:left="1440" w:hanging="360"/>
        <w:rPr>
          <w:sz w:val="20"/>
          <w:szCs w:val="20"/>
          <w:u w:val="none"/>
        </w:rPr>
      </w:pPr>
      <w:hyperlink r:id="rId7">
        <w:r w:rsidDel="00000000" w:rsidR="00000000" w:rsidRPr="00000000">
          <w:rPr>
            <w:color w:val="1155cc"/>
            <w:sz w:val="20"/>
            <w:szCs w:val="20"/>
            <w:u w:val="single"/>
            <w:rtl w:val="0"/>
          </w:rPr>
          <w:t xml:space="preserve">https://tabs.rewatch.com/video/igg6equn63gplqya-areeb-and-nicholas-gatti-june-21-2024</w:t>
        </w:r>
      </w:hyperlink>
      <w:r w:rsidDel="00000000" w:rsidR="00000000" w:rsidRPr="00000000">
        <w:rPr>
          <w:rtl w:val="0"/>
        </w:rPr>
      </w:r>
    </w:p>
    <w:p w:rsidR="00000000" w:rsidDel="00000000" w:rsidP="00000000" w:rsidRDefault="00000000" w:rsidRPr="00000000" w14:paraId="00000064">
      <w:pPr>
        <w:numPr>
          <w:ilvl w:val="0"/>
          <w:numId w:val="1"/>
        </w:numPr>
        <w:ind w:left="720" w:hanging="360"/>
        <w:rPr>
          <w:sz w:val="20"/>
          <w:szCs w:val="20"/>
          <w:u w:val="none"/>
        </w:rPr>
      </w:pPr>
      <w:r w:rsidDel="00000000" w:rsidR="00000000" w:rsidRPr="00000000">
        <w:rPr>
          <w:sz w:val="20"/>
          <w:szCs w:val="20"/>
          <w:rtl w:val="0"/>
        </w:rPr>
        <w:t xml:space="preserve">Technical/Scoping Call w/ Arjun</w:t>
      </w:r>
    </w:p>
    <w:p w:rsidR="00000000" w:rsidDel="00000000" w:rsidP="00000000" w:rsidRDefault="00000000" w:rsidRPr="00000000" w14:paraId="00000065">
      <w:pPr>
        <w:numPr>
          <w:ilvl w:val="1"/>
          <w:numId w:val="1"/>
        </w:numPr>
        <w:ind w:left="1440" w:hanging="360"/>
        <w:rPr>
          <w:sz w:val="20"/>
          <w:szCs w:val="20"/>
          <w:u w:val="none"/>
        </w:rPr>
      </w:pPr>
      <w:hyperlink r:id="rId8">
        <w:r w:rsidDel="00000000" w:rsidR="00000000" w:rsidRPr="00000000">
          <w:rPr>
            <w:color w:val="1155cc"/>
            <w:sz w:val="20"/>
            <w:szCs w:val="20"/>
            <w:u w:val="single"/>
            <w:rtl w:val="0"/>
          </w:rPr>
          <w:t xml:space="preserve">https://tabs.rewatch.com/video/g9s63o4wncedx7eh-posh-tabs-technical-sync-june-27-2024</w:t>
        </w:r>
      </w:hyperlink>
      <w:r w:rsidDel="00000000" w:rsidR="00000000" w:rsidRPr="00000000">
        <w:rPr>
          <w:rtl w:val="0"/>
        </w:rPr>
      </w:r>
    </w:p>
    <w:p w:rsidR="00000000" w:rsidDel="00000000" w:rsidP="00000000" w:rsidRDefault="00000000" w:rsidRPr="00000000" w14:paraId="00000066">
      <w:pPr>
        <w:numPr>
          <w:ilvl w:val="0"/>
          <w:numId w:val="1"/>
        </w:numPr>
        <w:ind w:left="720" w:hanging="360"/>
        <w:rPr>
          <w:sz w:val="20"/>
          <w:szCs w:val="20"/>
          <w:u w:val="none"/>
        </w:rPr>
      </w:pPr>
      <w:r w:rsidDel="00000000" w:rsidR="00000000" w:rsidRPr="00000000">
        <w:rPr>
          <w:sz w:val="20"/>
          <w:szCs w:val="20"/>
          <w:rtl w:val="0"/>
        </w:rPr>
        <w:t xml:space="preserve">Contract Red Lines Call</w:t>
      </w:r>
    </w:p>
    <w:p w:rsidR="00000000" w:rsidDel="00000000" w:rsidP="00000000" w:rsidRDefault="00000000" w:rsidRPr="00000000" w14:paraId="00000067">
      <w:pPr>
        <w:numPr>
          <w:ilvl w:val="1"/>
          <w:numId w:val="1"/>
        </w:numPr>
        <w:ind w:left="1440" w:hanging="360"/>
        <w:rPr>
          <w:sz w:val="20"/>
          <w:szCs w:val="20"/>
          <w:u w:val="none"/>
        </w:rPr>
      </w:pPr>
      <w:hyperlink r:id="rId9">
        <w:r w:rsidDel="00000000" w:rsidR="00000000" w:rsidRPr="00000000">
          <w:rPr>
            <w:color w:val="1155cc"/>
            <w:sz w:val="20"/>
            <w:szCs w:val="20"/>
            <w:u w:val="single"/>
            <w:rtl w:val="0"/>
          </w:rPr>
          <w:t xml:space="preserve">https://tabs.rewatch.com/video/c5dv1udcdlx2zbzg-posh-tabs-contract-sync-july-19-2024</w:t>
        </w:r>
      </w:hyperlink>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tabs.rewatch.com/video/c5dv1udcdlx2zbzg-posh-tabs-contract-sync-july-19-2024" TargetMode="External"/><Relationship Id="rId5" Type="http://schemas.openxmlformats.org/officeDocument/2006/relationships/styles" Target="styles.xml"/><Relationship Id="rId6" Type="http://schemas.openxmlformats.org/officeDocument/2006/relationships/hyperlink" Target="https://tabs.rewatch.com/video/e8tq1rw4ddysufqn-hold-intro-to-tabs-june-10-2024" TargetMode="External"/><Relationship Id="rId7" Type="http://schemas.openxmlformats.org/officeDocument/2006/relationships/hyperlink" Target="https://tabs.rewatch.com/video/igg6equn63gplqya-areeb-and-nicholas-gatti-june-21-2024" TargetMode="External"/><Relationship Id="rId8" Type="http://schemas.openxmlformats.org/officeDocument/2006/relationships/hyperlink" Target="https://tabs.rewatch.com/video/g9s63o4wncedx7eh-posh-tabs-technical-sync-june-27-20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