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Processing Steps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60" w:before="1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160" w:before="1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BTs will be found in the Fees section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160" w:before="1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IGNORE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160" w:before="1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Payment Processing fees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160" w:before="1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$0 BTs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160" w:before="1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1% Gross Profit BT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160" w:before="1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BT for “Any registrations that are sub $100 will be charged at 2%”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160" w:before="1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 contract has “Minimum annual registrations,” we will need to turn on Usage AI (instructions below)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60" w:before="1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Discount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160" w:before="160" w:lineRule="auto"/>
        <w:ind w:left="1440" w:hanging="360"/>
        <w:rPr/>
      </w:pPr>
      <w:r w:rsidDel="00000000" w:rsidR="00000000" w:rsidRPr="00000000">
        <w:rPr>
          <w:rtl w:val="0"/>
        </w:rPr>
        <w:t xml:space="preserve">Use the net price after discounts for BTs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60" w:before="1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Item Name: </w:t>
      </w:r>
      <w:r w:rsidDel="00000000" w:rsidR="00000000" w:rsidRPr="00000000">
        <w:rPr>
          <w:rtl w:val="0"/>
        </w:rPr>
        <w:t xml:space="preserve">Use the label of the fee but keep it clean and concise (e.g., "Licensing Fee," "Website Hosting," "Youth Team Fee").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before="1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Quantity: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160" w:before="1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licensing fees, can use the number of players if listed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160" w:before="1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E.g. “$1,200 CAD annually for the first 1,000 individual player registrations” would be a flat $1200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60" w:before="1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Licensing Fees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160" w:before="160" w:lineRule="auto"/>
        <w:ind w:left="1440" w:hanging="360"/>
        <w:rPr/>
      </w:pPr>
      <w:r w:rsidDel="00000000" w:rsidR="00000000" w:rsidRPr="00000000">
        <w:rPr>
          <w:rtl w:val="0"/>
        </w:rPr>
        <w:t xml:space="preserve">Can have a few different set ups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160" w:before="1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Flat annual fee -&gt; flat price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160" w:before="1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Flat annual fee + overage -&gt; flat price for annual fee + tired usage BT for the overage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160" w:before="1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Tiered per player registration -&gt; tiered usage BT (no flat fee needed)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60" w:before="1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Service and Billing Start Date: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160" w:before="1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the "Effective Date" in the contract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160" w:before="1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there are multiple years of fees, use the start date of that BT (Year 1 BT use effective date, Year 2 BT use 12 months after effective date)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160" w:before="1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Months of Service: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160" w:before="1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multiple years of fees are listed, follow that cadence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160" w:before="1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for a contract termination date to determine length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160" w:before="1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Default to 12 if nothing available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160" w:before="1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Frequency: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160" w:before="1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the billing cadence listed in the header of the fees section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160" w:before="1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“Licensing fees, invoiced quarterly, of:”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160" w:before="1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“Additional fees of, invoiced annually based on actual use:”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160" w:before="1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One-time setup fees should have frequency set to None.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160" w:before="1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will also be instructions in the Invoicing &amp; Billing section but the headers in the fees section override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160" w:before="1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Usage Terms: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160" w:before="160" w:lineRule="auto"/>
        <w:ind w:left="1440" w:hanging="360"/>
        <w:rPr/>
      </w:pPr>
      <w:r w:rsidDel="00000000" w:rsidR="00000000" w:rsidRPr="00000000">
        <w:rPr>
          <w:rtl w:val="0"/>
        </w:rPr>
        <w:t xml:space="preserve">“No-Show Fee”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160" w:before="1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you see this clause: “Failure to attend a scheduled training session without prior notice, will result in a fee of $100 payable by the Customer prior to any future training scheduling.”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160" w:before="1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it up as a usage fee titled “No-Show Fee” with the corresponding event monthly in arrears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160" w:before="1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Net Terms:</w:t>
      </w:r>
      <w:r w:rsidDel="00000000" w:rsidR="00000000" w:rsidRPr="00000000">
        <w:rPr>
          <w:rtl w:val="0"/>
        </w:rPr>
        <w:t xml:space="preserve"> Default to 30 unless net terms are listed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160" w:before="1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Usage AI (for minimum annual registrations):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160" w:before="160" w:lineRule="auto"/>
        <w:ind w:left="1440" w:hanging="360"/>
        <w:rPr/>
      </w:pPr>
      <w:r w:rsidDel="00000000" w:rsidR="00000000" w:rsidRPr="00000000">
        <w:rPr>
          <w:rtl w:val="0"/>
        </w:rPr>
        <w:t xml:space="preserve">“Minimum annual registrations quantity of 1,200 players”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160" w:before="160" w:lineRule="auto"/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Example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160" w:before="160" w:lineRule="auto"/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Example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before="16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160" w:before="1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first create a flat BT for the minimum amount in $, not number of players. If multiple years, set for multiple years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160" w:before="1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 Threshold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160" w:before="1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Included products: the per player rates usage BT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160" w:before="1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Threshold amount should be the $ amount representation of the minimum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160" w:before="1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minimum is a player amount, multiply the player # by the per player fee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160" w:before="1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charges overages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160" w:before="1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Threshold period is full service term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arage.tabsplatform.com/prod/contracts/5ccc3000-ebd0-492c-8a49-1a2cb57999b0/terms/revenue" TargetMode="External"/><Relationship Id="rId7" Type="http://schemas.openxmlformats.org/officeDocument/2006/relationships/hyperlink" Target="https://garage.tabsplatform.com/prod/contracts/f3fe018e-6b8e-420d-9dd7-a3b665f99c16/terms/revenue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