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February 2025</w:t>
        <w:br w:type="textWrapping"/>
        <w:t xml:space="preserve">Scoping start date: March 2025</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July 25th 2025</w:t>
        <w:br w:type="textWrapping"/>
        <w:t xml:space="preserve">Onboarding Kick Off Date: Aug 25th 2025</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Jarrett</w:t>
        <w:br w:type="textWrapping"/>
        <w:t xml:space="preserve">Implementation POC: Meg</w:t>
      </w:r>
    </w:p>
    <w:p w:rsidR="00000000" w:rsidDel="00000000" w:rsidP="00000000" w:rsidRDefault="00000000" w:rsidRPr="00000000" w14:paraId="00000008">
      <w:pPr>
        <w:rPr>
          <w:sz w:val="20"/>
          <w:szCs w:val="20"/>
        </w:rPr>
      </w:pPr>
      <w:r w:rsidDel="00000000" w:rsidR="00000000" w:rsidRPr="00000000">
        <w:rPr>
          <w:sz w:val="20"/>
          <w:szCs w:val="20"/>
          <w:rtl w:val="0"/>
        </w:rPr>
        <w:t xml:space="preserve">ERP: Netsuite </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Avalara</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1"/>
      <w:bookmarkEnd w:id="1"/>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1"/>
      <w:bookmarkEnd w:id="1"/>
      <w:r w:rsidDel="00000000" w:rsidR="00000000" w:rsidRPr="00000000">
        <w:rPr>
          <w:rFonts w:ascii="Inter" w:cs="Inter" w:eastAsia="Inter" w:hAnsi="Inter"/>
          <w:sz w:val="20"/>
          <w:szCs w:val="20"/>
          <w:rtl w:val="0"/>
        </w:rPr>
        <w:t xml:space="preserve">Accountant: Alex</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1"/>
      <w:bookmarkEnd w:id="1"/>
      <w:r w:rsidDel="00000000" w:rsidR="00000000" w:rsidRPr="00000000">
        <w:rPr>
          <w:rFonts w:ascii="Inter" w:cs="Inter" w:eastAsia="Inter" w:hAnsi="Inter"/>
          <w:sz w:val="20"/>
          <w:szCs w:val="20"/>
          <w:rtl w:val="0"/>
        </w:rPr>
        <w:t xml:space="preserve">CFO: Issac</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Controller: Vera</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2"/>
      <w:bookmarkEnd w:id="2"/>
      <w:r w:rsidDel="00000000" w:rsidR="00000000" w:rsidRPr="00000000">
        <w:rPr>
          <w:rFonts w:ascii="Inter" w:cs="Inter" w:eastAsia="Inter" w:hAnsi="Inter"/>
          <w:sz w:val="20"/>
          <w:szCs w:val="20"/>
          <w:rtl w:val="0"/>
        </w:rPr>
        <w:t xml:space="preserve">System Integrator: Jai </w:t>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3">
            <w:pPr>
              <w:numPr>
                <w:ilvl w:val="0"/>
                <w:numId w:val="2"/>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4">
            <w:pPr>
              <w:ind w:left="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15">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 </w:t>
            </w:r>
            <w:r w:rsidDel="00000000" w:rsidR="00000000" w:rsidRPr="00000000">
              <w:rPr>
                <w:b w:val="1"/>
                <w:sz w:val="20"/>
                <w:szCs w:val="20"/>
                <w:rtl w:val="0"/>
              </w:rPr>
              <w:t xml:space="preserve">Detail-oriented, cautious, and audit-focused</w:t>
            </w:r>
            <w:r w:rsidDel="00000000" w:rsidR="00000000" w:rsidRPr="00000000">
              <w:rPr>
                <w:sz w:val="20"/>
                <w:szCs w:val="20"/>
                <w:rtl w:val="0"/>
              </w:rPr>
              <w:t xml:space="preserve">, particularly from Vera (Controller).</w:t>
              <w:br w:type="textWrapping"/>
              <w:t xml:space="preserve">2) Is there a key POC: (i.e.: who is the buyer/decision maker?)</w:t>
              <w:br w:type="textWrapping"/>
              <w:t xml:space="preserve">3) What are the Tabs features that the key POC cares about?</w:t>
            </w:r>
          </w:p>
          <w:p w:rsidR="00000000" w:rsidDel="00000000" w:rsidP="00000000" w:rsidRDefault="00000000" w:rsidRPr="00000000" w14:paraId="00000016">
            <w:pPr>
              <w:numPr>
                <w:ilvl w:val="1"/>
                <w:numId w:val="2"/>
              </w:numPr>
              <w:ind w:left="1440" w:hanging="360"/>
              <w:rPr>
                <w:sz w:val="20"/>
                <w:szCs w:val="20"/>
              </w:rPr>
            </w:pPr>
            <w:r w:rsidDel="00000000" w:rsidR="00000000" w:rsidRPr="00000000">
              <w:rPr>
                <w:sz w:val="20"/>
                <w:szCs w:val="20"/>
                <w:rtl w:val="0"/>
              </w:rPr>
              <w:t xml:space="preserve">Auditability (storing contracts, integration with Ironclad/Salesforce)</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Deferred revenue and cash forecasting reports</w:t>
            </w:r>
          </w:p>
          <w:p w:rsidR="00000000" w:rsidDel="00000000" w:rsidP="00000000" w:rsidRDefault="00000000" w:rsidRPr="00000000" w14:paraId="00000018">
            <w:pPr>
              <w:numPr>
                <w:ilvl w:val="1"/>
                <w:numId w:val="2"/>
              </w:numPr>
              <w:ind w:left="1440" w:hanging="360"/>
              <w:rPr>
                <w:sz w:val="20"/>
                <w:szCs w:val="20"/>
              </w:rPr>
            </w:pPr>
            <w:r w:rsidDel="00000000" w:rsidR="00000000" w:rsidRPr="00000000">
              <w:rPr>
                <w:sz w:val="20"/>
                <w:szCs w:val="20"/>
                <w:rtl w:val="0"/>
              </w:rPr>
              <w:t xml:space="preserve">Seamless NetSuite integration</w:t>
              <w:br w:type="textWrapping"/>
              <w:t xml:space="preserve">Flexibility in handling complex, negotiated billing arrangements</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D">
      <w:pPr>
        <w:spacing w:after="240" w:before="240" w:lineRule="auto"/>
        <w:rPr>
          <w:sz w:val="20"/>
          <w:szCs w:val="20"/>
        </w:rPr>
      </w:pPr>
      <w:r w:rsidDel="00000000" w:rsidR="00000000" w:rsidRPr="00000000">
        <w:rPr>
          <w:sz w:val="20"/>
          <w:szCs w:val="20"/>
          <w:rtl w:val="0"/>
        </w:rPr>
        <w:t xml:space="preserve">Human is a global digital security and analytics company based in New York. They specialize in bot detection, fraud prevention, and providing secure, scalable platforms to enterprise clients. The finance and accounting teams operate heavily on NetSuite but have legacy, highly manual billing processes.</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2">
      <w:pPr>
        <w:ind w:left="0" w:firstLine="0"/>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3">
      <w:pPr>
        <w:numPr>
          <w:ilvl w:val="0"/>
          <w:numId w:val="7"/>
        </w:numPr>
        <w:ind w:left="720" w:hanging="360"/>
        <w:rPr>
          <w:sz w:val="20"/>
          <w:szCs w:val="20"/>
          <w:u w:val="none"/>
        </w:rPr>
      </w:pPr>
      <w:r w:rsidDel="00000000" w:rsidR="00000000" w:rsidRPr="00000000">
        <w:rPr>
          <w:sz w:val="20"/>
          <w:szCs w:val="20"/>
          <w:rtl w:val="0"/>
        </w:rPr>
        <w:t xml:space="preserve">Reduce a </w:t>
      </w:r>
      <w:r w:rsidDel="00000000" w:rsidR="00000000" w:rsidRPr="00000000">
        <w:rPr>
          <w:b w:val="1"/>
          <w:sz w:val="20"/>
          <w:szCs w:val="20"/>
          <w:rtl w:val="0"/>
        </w:rPr>
        <w:t xml:space="preserve">10-day billing delay</w:t>
      </w:r>
      <w:r w:rsidDel="00000000" w:rsidR="00000000" w:rsidRPr="00000000">
        <w:rPr>
          <w:sz w:val="20"/>
          <w:szCs w:val="20"/>
          <w:rtl w:val="0"/>
        </w:rPr>
        <w:t xml:space="preserve"> and shorten invoice-to-cash cycles.</w:t>
      </w:r>
    </w:p>
    <w:p w:rsidR="00000000" w:rsidDel="00000000" w:rsidP="00000000" w:rsidRDefault="00000000" w:rsidRPr="00000000" w14:paraId="00000024">
      <w:pPr>
        <w:numPr>
          <w:ilvl w:val="0"/>
          <w:numId w:val="7"/>
        </w:numPr>
        <w:ind w:left="720" w:hanging="360"/>
        <w:rPr>
          <w:sz w:val="20"/>
          <w:szCs w:val="20"/>
          <w:u w:val="none"/>
        </w:rPr>
      </w:pPr>
      <w:r w:rsidDel="00000000" w:rsidR="00000000" w:rsidRPr="00000000">
        <w:rPr>
          <w:sz w:val="20"/>
          <w:szCs w:val="20"/>
          <w:rtl w:val="0"/>
        </w:rPr>
        <w:t xml:space="preserve">Improve </w:t>
      </w:r>
      <w:r w:rsidDel="00000000" w:rsidR="00000000" w:rsidRPr="00000000">
        <w:rPr>
          <w:b w:val="1"/>
          <w:sz w:val="20"/>
          <w:szCs w:val="20"/>
          <w:rtl w:val="0"/>
        </w:rPr>
        <w:t xml:space="preserve">cash forecasting</w:t>
      </w:r>
      <w:r w:rsidDel="00000000" w:rsidR="00000000" w:rsidRPr="00000000">
        <w:rPr>
          <w:sz w:val="20"/>
          <w:szCs w:val="20"/>
          <w:rtl w:val="0"/>
        </w:rPr>
        <w:t xml:space="preserve"> and AR visibility.</w:t>
      </w:r>
    </w:p>
    <w:p w:rsidR="00000000" w:rsidDel="00000000" w:rsidP="00000000" w:rsidRDefault="00000000" w:rsidRPr="00000000" w14:paraId="00000025">
      <w:pPr>
        <w:numPr>
          <w:ilvl w:val="0"/>
          <w:numId w:val="7"/>
        </w:numPr>
        <w:ind w:left="720" w:hanging="360"/>
        <w:rPr>
          <w:sz w:val="20"/>
          <w:szCs w:val="20"/>
          <w:u w:val="none"/>
        </w:rPr>
      </w:pPr>
      <w:r w:rsidDel="00000000" w:rsidR="00000000" w:rsidRPr="00000000">
        <w:rPr>
          <w:sz w:val="20"/>
          <w:szCs w:val="20"/>
          <w:rtl w:val="0"/>
        </w:rPr>
        <w:t xml:space="preserve">Automate manual processes in billing, revenue recognition, and customer account setup.</w:t>
      </w:r>
    </w:p>
    <w:p w:rsidR="00000000" w:rsidDel="00000000" w:rsidP="00000000" w:rsidRDefault="00000000" w:rsidRPr="00000000" w14:paraId="00000026">
      <w:pPr>
        <w:numPr>
          <w:ilvl w:val="0"/>
          <w:numId w:val="7"/>
        </w:numPr>
        <w:ind w:left="720" w:hanging="360"/>
        <w:rPr>
          <w:sz w:val="20"/>
          <w:szCs w:val="20"/>
          <w:u w:val="none"/>
        </w:rPr>
      </w:pPr>
      <w:r w:rsidDel="00000000" w:rsidR="00000000" w:rsidRPr="00000000">
        <w:rPr>
          <w:sz w:val="20"/>
          <w:szCs w:val="20"/>
          <w:rtl w:val="0"/>
        </w:rPr>
        <w:t xml:space="preserve">Consolidate scattered data sources (Ironclad, Salesforce, Google Drive).</w:t>
      </w:r>
    </w:p>
    <w:p w:rsidR="00000000" w:rsidDel="00000000" w:rsidP="00000000" w:rsidRDefault="00000000" w:rsidRPr="00000000" w14:paraId="00000027">
      <w:pPr>
        <w:numPr>
          <w:ilvl w:val="0"/>
          <w:numId w:val="7"/>
        </w:numPr>
        <w:ind w:left="720" w:hanging="360"/>
        <w:rPr>
          <w:sz w:val="20"/>
          <w:szCs w:val="20"/>
          <w:u w:val="none"/>
        </w:rPr>
      </w:pPr>
      <w:r w:rsidDel="00000000" w:rsidR="00000000" w:rsidRPr="00000000">
        <w:rPr>
          <w:sz w:val="20"/>
          <w:szCs w:val="20"/>
          <w:rtl w:val="0"/>
        </w:rPr>
        <w:t xml:space="preserve">Support </w:t>
      </w:r>
      <w:r w:rsidDel="00000000" w:rsidR="00000000" w:rsidRPr="00000000">
        <w:rPr>
          <w:b w:val="1"/>
          <w:sz w:val="20"/>
          <w:szCs w:val="20"/>
          <w:rtl w:val="0"/>
        </w:rPr>
        <w:t xml:space="preserve">complex contracts</w:t>
      </w:r>
      <w:r w:rsidDel="00000000" w:rsidR="00000000" w:rsidRPr="00000000">
        <w:rPr>
          <w:sz w:val="20"/>
          <w:szCs w:val="20"/>
          <w:rtl w:val="0"/>
        </w:rPr>
        <w:t xml:space="preserve"> with usage-based billing, thresholds, minimums, and multiple subsidiaries.</w:t>
      </w:r>
    </w:p>
    <w:p w:rsidR="00000000" w:rsidDel="00000000" w:rsidP="00000000" w:rsidRDefault="00000000" w:rsidRPr="00000000" w14:paraId="00000028">
      <w:pPr>
        <w:numPr>
          <w:ilvl w:val="0"/>
          <w:numId w:val="7"/>
        </w:numPr>
        <w:ind w:left="720" w:hanging="360"/>
        <w:rPr>
          <w:sz w:val="20"/>
          <w:szCs w:val="20"/>
          <w:u w:val="none"/>
        </w:rPr>
      </w:pPr>
      <w:r w:rsidDel="00000000" w:rsidR="00000000" w:rsidRPr="00000000">
        <w:rPr>
          <w:sz w:val="20"/>
          <w:szCs w:val="20"/>
          <w:rtl w:val="0"/>
        </w:rPr>
        <w:t xml:space="preserve">Provide robust reporting: revenue slicing by product/customer, deferred revenue reconciliation, AR aging, and FP&amp;A support.</w:t>
      </w:r>
    </w:p>
    <w:p w:rsidR="00000000" w:rsidDel="00000000" w:rsidP="00000000" w:rsidRDefault="00000000" w:rsidRPr="00000000" w14:paraId="00000029">
      <w:pPr>
        <w:rPr>
          <w:sz w:val="20"/>
          <w:szCs w:val="20"/>
        </w:rPr>
      </w:pP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B">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C">
      <w:pPr>
        <w:numPr>
          <w:ilvl w:val="0"/>
          <w:numId w:val="1"/>
        </w:numPr>
        <w:spacing w:after="0" w:afterAutospacing="0" w:before="240" w:lineRule="auto"/>
        <w:ind w:left="720" w:hanging="360"/>
        <w:rPr>
          <w:rFonts w:ascii="Arial" w:cs="Arial" w:eastAsia="Arial" w:hAnsi="Arial"/>
        </w:rPr>
      </w:pPr>
      <w:r w:rsidDel="00000000" w:rsidR="00000000" w:rsidRPr="00000000">
        <w:rPr>
          <w:sz w:val="20"/>
          <w:szCs w:val="20"/>
          <w:rtl w:val="0"/>
        </w:rPr>
        <w:t xml:space="preserve">Highly </w:t>
      </w:r>
      <w:r w:rsidDel="00000000" w:rsidR="00000000" w:rsidRPr="00000000">
        <w:rPr>
          <w:b w:val="1"/>
          <w:sz w:val="20"/>
          <w:szCs w:val="20"/>
          <w:rtl w:val="0"/>
        </w:rPr>
        <w:t xml:space="preserve">customized billing</w:t>
      </w:r>
      <w:r w:rsidDel="00000000" w:rsidR="00000000" w:rsidRPr="00000000">
        <w:rPr>
          <w:sz w:val="20"/>
          <w:szCs w:val="20"/>
          <w:rtl w:val="0"/>
        </w:rPr>
        <w:t xml:space="preserve"> for enterprise customers: usage-based, minimum thresholds, annual and multi-year contracts.</w:t>
        <w:br w:type="textWrapping"/>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Arial" w:cs="Arial" w:eastAsia="Arial" w:hAnsi="Arial"/>
        </w:rPr>
      </w:pPr>
      <w:r w:rsidDel="00000000" w:rsidR="00000000" w:rsidRPr="00000000">
        <w:rPr>
          <w:sz w:val="20"/>
          <w:szCs w:val="20"/>
          <w:rtl w:val="0"/>
        </w:rPr>
        <w:t xml:space="preserve">Parent-child invoice relationships required for resellers combining multiple customer invoices.</w:t>
        <w:br w:type="textWrapping"/>
      </w:r>
    </w:p>
    <w:p w:rsidR="00000000" w:rsidDel="00000000" w:rsidP="00000000" w:rsidRDefault="00000000" w:rsidRPr="00000000" w14:paraId="0000002E">
      <w:pPr>
        <w:numPr>
          <w:ilvl w:val="0"/>
          <w:numId w:val="1"/>
        </w:numPr>
        <w:spacing w:after="240" w:before="0" w:beforeAutospacing="0" w:lineRule="auto"/>
        <w:ind w:left="720" w:hanging="360"/>
        <w:rPr>
          <w:rFonts w:ascii="Arial" w:cs="Arial" w:eastAsia="Arial" w:hAnsi="Arial"/>
        </w:rPr>
      </w:pPr>
      <w:r w:rsidDel="00000000" w:rsidR="00000000" w:rsidRPr="00000000">
        <w:rPr>
          <w:sz w:val="20"/>
          <w:szCs w:val="20"/>
          <w:rtl w:val="0"/>
        </w:rPr>
        <w:t xml:space="preserve">Invoices are currently sent manually in NetSuite with delayed cycles. Tabs will automate invoicing, dunning, and revenue recognition, with full bidirectional sync to NetSuite.</w:t>
      </w:r>
      <w:r w:rsidDel="00000000" w:rsidR="00000000" w:rsidRPr="00000000">
        <w:rPr>
          <w:rtl w:val="0"/>
        </w:rPr>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30">
      <w:pPr>
        <w:numPr>
          <w:ilvl w:val="0"/>
          <w:numId w:val="6"/>
        </w:numPr>
        <w:ind w:left="720" w:hanging="360"/>
        <w:rPr>
          <w:sz w:val="20"/>
          <w:szCs w:val="20"/>
        </w:rPr>
      </w:pPr>
      <w:r w:rsidDel="00000000" w:rsidR="00000000" w:rsidRPr="00000000">
        <w:rPr>
          <w:sz w:val="20"/>
          <w:szCs w:val="20"/>
          <w:rtl w:val="0"/>
        </w:rPr>
        <w:t xml:space="preserve">Steps to process</w:t>
        <w:br w:type="textWrapping"/>
      </w:r>
    </w:p>
    <w:p w:rsidR="00000000" w:rsidDel="00000000" w:rsidP="00000000" w:rsidRDefault="00000000" w:rsidRPr="00000000" w14:paraId="00000031">
      <w:pPr>
        <w:numPr>
          <w:ilvl w:val="0"/>
          <w:numId w:val="6"/>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32">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3">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4">
      <w:pPr>
        <w:numPr>
          <w:ilvl w:val="1"/>
          <w:numId w:val="6"/>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5">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6">
      <w:pPr>
        <w:numPr>
          <w:ilvl w:val="1"/>
          <w:numId w:val="6"/>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37">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38">
      <w:pPr>
        <w:numPr>
          <w:ilvl w:val="1"/>
          <w:numId w:val="6"/>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39">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3A">
      <w:pPr>
        <w:numPr>
          <w:ilvl w:val="1"/>
          <w:numId w:val="6"/>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B">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3C">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3D">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3E">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F">
      <w:pPr>
        <w:numPr>
          <w:ilvl w:val="0"/>
          <w:numId w:val="8"/>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0">
      <w:pPr>
        <w:numPr>
          <w:ilvl w:val="0"/>
          <w:numId w:val="8"/>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41">
      <w:pPr>
        <w:numPr>
          <w:ilvl w:val="0"/>
          <w:numId w:val="8"/>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42">
      <w:pPr>
        <w:ind w:left="720" w:firstLine="0"/>
        <w:rPr>
          <w:sz w:val="20"/>
          <w:szCs w:val="20"/>
        </w:rPr>
      </w:pPr>
      <w:r w:rsidDel="00000000" w:rsidR="00000000" w:rsidRPr="00000000">
        <w:rPr>
          <w:rtl w:val="0"/>
        </w:rPr>
      </w:r>
    </w:p>
    <w:p w:rsidR="00000000" w:rsidDel="00000000" w:rsidP="00000000" w:rsidRDefault="00000000" w:rsidRPr="00000000" w14:paraId="0000004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4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5">
      <w:pPr>
        <w:numPr>
          <w:ilvl w:val="0"/>
          <w:numId w:val="4"/>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46">
      <w:pPr>
        <w:numPr>
          <w:ilvl w:val="0"/>
          <w:numId w:val="4"/>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47">
      <w:pPr>
        <w:numPr>
          <w:ilvl w:val="1"/>
          <w:numId w:val="4"/>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48">
      <w:pPr>
        <w:numPr>
          <w:ilvl w:val="2"/>
          <w:numId w:val="4"/>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49">
      <w:pPr>
        <w:numPr>
          <w:ilvl w:val="2"/>
          <w:numId w:val="4"/>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4A">
      <w:pPr>
        <w:numPr>
          <w:ilvl w:val="2"/>
          <w:numId w:val="4"/>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4D">
      <w:pPr>
        <w:numPr>
          <w:ilvl w:val="0"/>
          <w:numId w:val="9"/>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4E">
      <w:pPr>
        <w:numPr>
          <w:ilvl w:val="1"/>
          <w:numId w:val="9"/>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4F">
      <w:pPr>
        <w:numPr>
          <w:ilvl w:val="1"/>
          <w:numId w:val="9"/>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0">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51">
      <w:pPr>
        <w:numPr>
          <w:ilvl w:val="0"/>
          <w:numId w:val="1"/>
        </w:numPr>
        <w:ind w:left="720" w:hanging="360"/>
        <w:rPr>
          <w:sz w:val="20"/>
          <w:szCs w:val="20"/>
        </w:rPr>
      </w:pPr>
      <w:r w:rsidDel="00000000" w:rsidR="00000000" w:rsidRPr="00000000">
        <w:rPr>
          <w:sz w:val="20"/>
          <w:szCs w:val="20"/>
          <w:rtl w:val="0"/>
        </w:rPr>
        <w:t xml:space="preserve">See </w:t>
      </w:r>
      <w:hyperlink r:id="rId6">
        <w:r w:rsidDel="00000000" w:rsidR="00000000" w:rsidRPr="00000000">
          <w:rPr>
            <w:color w:val="1155cc"/>
            <w:sz w:val="20"/>
            <w:szCs w:val="20"/>
            <w:u w:val="single"/>
            <w:rtl w:val="0"/>
          </w:rPr>
          <w:t xml:space="preserve">here</w:t>
        </w:r>
      </w:hyperlink>
      <w:r w:rsidDel="00000000" w:rsidR="00000000" w:rsidRPr="00000000">
        <w:rPr>
          <w:rtl w:val="0"/>
        </w:rPr>
      </w:r>
    </w:p>
    <w:p w:rsidR="00000000" w:rsidDel="00000000" w:rsidP="00000000" w:rsidRDefault="00000000" w:rsidRPr="00000000" w14:paraId="00000052">
      <w:pPr>
        <w:ind w:left="0" w:firstLine="0"/>
        <w:rPr>
          <w:sz w:val="20"/>
          <w:szCs w:val="20"/>
        </w:rPr>
      </w:pPr>
      <w:r w:rsidDel="00000000" w:rsidR="00000000" w:rsidRPr="00000000">
        <w:rPr>
          <w:rtl w:val="0"/>
        </w:rPr>
      </w:r>
    </w:p>
    <w:p w:rsidR="00000000" w:rsidDel="00000000" w:rsidP="00000000" w:rsidRDefault="00000000" w:rsidRPr="00000000" w14:paraId="00000053">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54">
      <w:pPr>
        <w:numPr>
          <w:ilvl w:val="0"/>
          <w:numId w:val="1"/>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spreadsheets/d/1S6h_q2QvrHkk8tl9eeluDsF_n1pqUvytpFPYomtNHLs/edit?usp=sharing"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