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GovExec</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967125622"/>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Flat fee contracts only at present.</w:t>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Usage-based billing is not currently in play, though they may consider it in the future. </w:t>
            </w:r>
          </w:p>
          <w:p w:rsidR="00000000" w:rsidDel="00000000" w:rsidP="00000000" w:rsidRDefault="00000000" w:rsidRPr="00000000" w14:paraId="00000009">
            <w:pPr>
              <w:ind w:left="0" w:firstLine="0"/>
              <w:rPr>
                <w:sz w:val="20"/>
                <w:szCs w:val="20"/>
              </w:rPr>
            </w:pPr>
            <w:r w:rsidDel="00000000" w:rsidR="00000000" w:rsidRPr="00000000">
              <w:rPr>
                <w:rtl w:val="0"/>
              </w:rPr>
            </w:r>
          </w:p>
          <w:p w:rsidR="00000000" w:rsidDel="00000000" w:rsidP="00000000" w:rsidRDefault="00000000" w:rsidRPr="00000000" w14:paraId="0000000A">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GovExec’s stakeholders are cautious, consensus-driven, and detail-oriented. They value persistence, thoroughness, and partnership, and once their concerns are resolved, they’re ready to move decisively.</w:t>
            </w:r>
          </w:p>
          <w:p w:rsidR="00000000" w:rsidDel="00000000" w:rsidP="00000000" w:rsidRDefault="00000000" w:rsidRPr="00000000" w14:paraId="0000000C">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Multi-Entity Billing &amp; Reporting - GovExec has 10-15 subsidiaries and complex intercompany needs. GovExec360 is the pilot instance (most complex, &lt;50% of the business) and then scale to other more simple entities.</w:t>
            </w:r>
          </w:p>
          <w:p w:rsidR="00000000" w:rsidDel="00000000" w:rsidP="00000000" w:rsidRDefault="00000000" w:rsidRPr="00000000" w14:paraId="0000000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sz w:val="20"/>
                <w:szCs w:val="20"/>
              </w:rPr>
            </w:pPr>
            <w:r w:rsidDel="00000000" w:rsidR="00000000" w:rsidRPr="00000000">
              <w:rPr>
                <w:sz w:val="20"/>
                <w:szCs w:val="20"/>
                <w:rtl w:val="0"/>
              </w:rPr>
              <w:t xml:space="preserve">They care deeply about Tabs’ ability to:</w:t>
            </w:r>
          </w:p>
          <w:p w:rsidR="00000000" w:rsidDel="00000000" w:rsidP="00000000" w:rsidRDefault="00000000" w:rsidRPr="00000000" w14:paraId="00000010">
            <w:pPr>
              <w:widowControl w:val="0"/>
              <w:numPr>
                <w:ilvl w:val="0"/>
                <w:numId w:val="6"/>
              </w:numPr>
              <w:spacing w:line="240" w:lineRule="auto"/>
              <w:ind w:left="720" w:hanging="360"/>
              <w:rPr>
                <w:sz w:val="20"/>
                <w:szCs w:val="20"/>
              </w:rPr>
            </w:pPr>
            <w:r w:rsidDel="00000000" w:rsidR="00000000" w:rsidRPr="00000000">
              <w:rPr>
                <w:sz w:val="20"/>
                <w:szCs w:val="20"/>
                <w:rtl w:val="0"/>
              </w:rPr>
              <w:t xml:space="preserve">Consolidate reporting across entities (ARR, GAAP rev rec, collections, cash forecasting).</w:t>
            </w:r>
          </w:p>
          <w:p w:rsidR="00000000" w:rsidDel="00000000" w:rsidP="00000000" w:rsidRDefault="00000000" w:rsidRPr="00000000" w14:paraId="00000011">
            <w:pPr>
              <w:widowControl w:val="0"/>
              <w:numPr>
                <w:ilvl w:val="1"/>
                <w:numId w:val="6"/>
              </w:numPr>
              <w:spacing w:line="240" w:lineRule="auto"/>
              <w:ind w:left="1440" w:hanging="360"/>
              <w:rPr>
                <w:sz w:val="20"/>
                <w:szCs w:val="20"/>
              </w:rPr>
            </w:pPr>
            <w:r w:rsidDel="00000000" w:rsidR="00000000" w:rsidRPr="00000000">
              <w:rPr>
                <w:sz w:val="20"/>
                <w:szCs w:val="20"/>
                <w:rtl w:val="0"/>
              </w:rPr>
              <w:t xml:space="preserve">Consolidated Cash forecast report via Omni is </w:t>
            </w:r>
            <w:r w:rsidDel="00000000" w:rsidR="00000000" w:rsidRPr="00000000">
              <w:rPr>
                <w:b w:val="1"/>
                <w:sz w:val="20"/>
                <w:szCs w:val="20"/>
                <w:rtl w:val="0"/>
              </w:rPr>
              <w:t xml:space="preserve">the most important thing</w:t>
            </w:r>
            <w:r w:rsidDel="00000000" w:rsidR="00000000" w:rsidRPr="00000000">
              <w:rPr>
                <w:sz w:val="20"/>
                <w:szCs w:val="20"/>
                <w:rtl w:val="0"/>
              </w:rPr>
              <w:t xml:space="preserve"> for CFO Matt Ziegler </w:t>
            </w:r>
          </w:p>
          <w:p w:rsidR="00000000" w:rsidDel="00000000" w:rsidP="00000000" w:rsidRDefault="00000000" w:rsidRPr="00000000" w14:paraId="00000012">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Handle invoicing &amp; Collections workflows across entities</w:t>
            </w:r>
          </w:p>
          <w:p w:rsidR="00000000" w:rsidDel="00000000" w:rsidP="00000000" w:rsidRDefault="00000000" w:rsidRPr="00000000" w14:paraId="00000013">
            <w:pPr>
              <w:widowControl w:val="0"/>
              <w:numPr>
                <w:ilvl w:val="1"/>
                <w:numId w:val="6"/>
              </w:numPr>
              <w:spacing w:line="240" w:lineRule="auto"/>
              <w:ind w:left="1440" w:hanging="360"/>
              <w:rPr>
                <w:sz w:val="20"/>
                <w:szCs w:val="20"/>
                <w:u w:val="none"/>
              </w:rPr>
            </w:pPr>
            <w:r w:rsidDel="00000000" w:rsidR="00000000" w:rsidRPr="00000000">
              <w:rPr>
                <w:sz w:val="20"/>
                <w:szCs w:val="20"/>
                <w:rtl w:val="0"/>
              </w:rPr>
              <w:t xml:space="preserve">Payment Flexibility &amp; Cash Application are key</w:t>
            </w:r>
          </w:p>
          <w:p w:rsidR="00000000" w:rsidDel="00000000" w:rsidP="00000000" w:rsidRDefault="00000000" w:rsidRPr="00000000" w14:paraId="00000014">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Historical data migration since the start of 2024 (Netsuite invoice records only)</w:t>
            </w:r>
          </w:p>
          <w:p w:rsidR="00000000" w:rsidDel="00000000" w:rsidP="00000000" w:rsidRDefault="00000000" w:rsidRPr="00000000" w14:paraId="00000015">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Domain-specific email deliverability (Tabs team is building, this is a go-live requirement)</w:t>
            </w:r>
          </w:p>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7">
            <w:pPr>
              <w:widowControl w:val="0"/>
              <w:spacing w:line="240" w:lineRule="auto"/>
              <w:rPr>
                <w:sz w:val="20"/>
                <w:szCs w:val="20"/>
              </w:rPr>
            </w:pPr>
            <w:hyperlink r:id="rId6">
              <w:r w:rsidDel="00000000" w:rsidR="00000000" w:rsidRPr="00000000">
                <w:rPr>
                  <w:color w:val="0000ee"/>
                  <w:sz w:val="20"/>
                  <w:szCs w:val="20"/>
                  <w:u w:val="single"/>
                  <w:rtl w:val="0"/>
                </w:rPr>
                <w:t xml:space="preserve">Tabs Onboarding Sheet.xlsx</w:t>
              </w:r>
            </w:hyperlink>
            <w:r w:rsidDel="00000000" w:rsidR="00000000" w:rsidRPr="00000000">
              <w:rPr>
                <w:sz w:val="20"/>
                <w:szCs w:val="20"/>
                <w:rtl w:val="0"/>
              </w:rPr>
              <w:t xml:space="preserve">-&gt; overview of subsidiaries</w:t>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9">
            <w:pPr>
              <w:pStyle w:val="Heading3"/>
              <w:rPr>
                <w:sz w:val="20"/>
                <w:szCs w:val="20"/>
              </w:rPr>
            </w:pPr>
            <w:bookmarkStart w:colFirst="0" w:colLast="0" w:name="_n7pqoqyoi5kk" w:id="3"/>
            <w:bookmarkEnd w:id="3"/>
            <w:r w:rsidDel="00000000" w:rsidR="00000000" w:rsidRPr="00000000">
              <w:rPr>
                <w:sz w:val="20"/>
                <w:szCs w:val="20"/>
                <w:highlight w:val="green"/>
                <w:rtl w:val="0"/>
              </w:rPr>
              <w:t xml:space="preserve">Feature Requests</w:t>
            </w:r>
            <w:r w:rsidDel="00000000" w:rsidR="00000000" w:rsidRPr="00000000">
              <w:rPr>
                <w:sz w:val="20"/>
                <w:szCs w:val="20"/>
                <w:rtl w:val="0"/>
              </w:rPr>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1A">
            <w:pPr>
              <w:numPr>
                <w:ilvl w:val="0"/>
                <w:numId w:val="1"/>
              </w:numPr>
              <w:ind w:left="720" w:hanging="360"/>
              <w:rPr>
                <w:sz w:val="20"/>
                <w:szCs w:val="20"/>
                <w:highlight w:val="yellow"/>
              </w:rPr>
            </w:pPr>
            <w:r w:rsidDel="00000000" w:rsidR="00000000" w:rsidRPr="00000000">
              <w:rPr>
                <w:sz w:val="20"/>
                <w:szCs w:val="20"/>
                <w:highlight w:val="yellow"/>
                <w:rtl w:val="0"/>
              </w:rPr>
              <w:t xml:space="preserve">Custom email deliverability from a singular provided email domain will be available for any communications out of Tabs. Target general release Q3 2025.</w:t>
            </w:r>
          </w:p>
          <w:p w:rsidR="00000000" w:rsidDel="00000000" w:rsidP="00000000" w:rsidRDefault="00000000" w:rsidRPr="00000000" w14:paraId="0000001B">
            <w:pPr>
              <w:numPr>
                <w:ilvl w:val="0"/>
                <w:numId w:val="1"/>
              </w:numPr>
              <w:ind w:left="720" w:hanging="360"/>
              <w:rPr>
                <w:sz w:val="20"/>
                <w:szCs w:val="20"/>
                <w:highlight w:val="yellow"/>
              </w:rPr>
            </w:pPr>
            <w:r w:rsidDel="00000000" w:rsidR="00000000" w:rsidRPr="00000000">
              <w:rPr>
                <w:sz w:val="20"/>
                <w:szCs w:val="20"/>
                <w:highlight w:val="yellow"/>
                <w:rtl w:val="0"/>
              </w:rPr>
              <w:t xml:space="preserve">Tabs will partner with Government Executive to provide consolidated data reporting for billing, Collections, Cash Forecast, ARR and GAAP Rev Rec through email delivery, any additional reports will be subject to scoping.</w:t>
            </w:r>
            <w:r w:rsidDel="00000000" w:rsidR="00000000" w:rsidRPr="00000000">
              <w:rPr>
                <w:rtl w:val="0"/>
              </w:rPr>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E">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F">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8">
      <w:pPr>
        <w:numPr>
          <w:ilvl w:val="0"/>
          <w:numId w:val="5"/>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29">
      <w:pPr>
        <w:numPr>
          <w:ilvl w:val="0"/>
          <w:numId w:val="5"/>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A">
      <w:pPr>
        <w:numPr>
          <w:ilvl w:val="0"/>
          <w:numId w:val="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B">
      <w:pPr>
        <w:numPr>
          <w:ilvl w:val="0"/>
          <w:numId w:val="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C">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D">
      <w:pPr>
        <w:numPr>
          <w:ilvl w:val="0"/>
          <w:numId w:val="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E">
      <w:pPr>
        <w:numPr>
          <w:ilvl w:val="1"/>
          <w:numId w:val="5"/>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F">
      <w:pPr>
        <w:numPr>
          <w:ilvl w:val="0"/>
          <w:numId w:val="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0">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1">
      <w:pPr>
        <w:numPr>
          <w:ilvl w:val="0"/>
          <w:numId w:val="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32">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3">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4">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8">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9">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A">
      <w:pPr>
        <w:ind w:left="720" w:firstLine="0"/>
        <w:rPr>
          <w:sz w:val="20"/>
          <w:szCs w:val="20"/>
        </w:rPr>
      </w:pPr>
      <w:r w:rsidDel="00000000" w:rsidR="00000000" w:rsidRPr="00000000">
        <w:rPr>
          <w:rtl w:val="0"/>
        </w:rPr>
      </w:r>
    </w:p>
    <w:p w:rsidR="00000000" w:rsidDel="00000000" w:rsidP="00000000" w:rsidRDefault="00000000" w:rsidRPr="00000000" w14:paraId="0000003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D">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E">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F">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0">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1">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2">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3">
      <w:pPr>
        <w:ind w:left="720" w:firstLine="0"/>
        <w:rPr>
          <w:sz w:val="20"/>
          <w:szCs w:val="20"/>
          <w:highlight w:val="yellow"/>
        </w:rPr>
      </w:pPr>
      <w:r w:rsidDel="00000000" w:rsidR="00000000" w:rsidRPr="00000000">
        <w:rPr>
          <w:rtl w:val="0"/>
        </w:rPr>
      </w:r>
    </w:p>
    <w:p w:rsidR="00000000" w:rsidDel="00000000" w:rsidP="00000000" w:rsidRDefault="00000000" w:rsidRPr="00000000" w14:paraId="00000044">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5">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6">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7">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8">
      <w:pPr>
        <w:pStyle w:val="Heading3"/>
        <w:rPr>
          <w:sz w:val="20"/>
          <w:szCs w:val="20"/>
        </w:rPr>
      </w:pPr>
      <w:bookmarkStart w:colFirst="0" w:colLast="0" w:name="_htt28tqxjcgm" w:id="8"/>
      <w:bookmarkEnd w:id="8"/>
      <w:r w:rsidDel="00000000" w:rsidR="00000000" w:rsidRPr="00000000">
        <w:rPr>
          <w:sz w:val="20"/>
          <w:szCs w:val="20"/>
          <w:highlight w:val="green"/>
          <w:rtl w:val="0"/>
        </w:rPr>
        <w:t xml:space="preserve">Feature Requests</w:t>
      </w:r>
      <w:r w:rsidDel="00000000" w:rsidR="00000000" w:rsidRPr="00000000">
        <w:rPr>
          <w:sz w:val="20"/>
          <w:szCs w:val="20"/>
          <w:rtl w:val="0"/>
        </w:rPr>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49">
      <w:pPr>
        <w:numPr>
          <w:ilvl w:val="0"/>
          <w:numId w:val="1"/>
        </w:numPr>
        <w:ind w:left="720" w:hanging="360"/>
        <w:rPr>
          <w:sz w:val="20"/>
          <w:szCs w:val="20"/>
          <w:highlight w:val="yellow"/>
        </w:rPr>
      </w:pPr>
      <w:r w:rsidDel="00000000" w:rsidR="00000000" w:rsidRPr="00000000">
        <w:rPr>
          <w:sz w:val="20"/>
          <w:szCs w:val="20"/>
          <w:highlight w:val="yellow"/>
          <w:rtl w:val="0"/>
        </w:rPr>
        <w:t xml:space="preserve">Custom email deliverability from a singular provided email domain will be available for any communications out of Tabs. Target general release Q3 2025.</w:t>
      </w:r>
    </w:p>
    <w:p w:rsidR="00000000" w:rsidDel="00000000" w:rsidP="00000000" w:rsidRDefault="00000000" w:rsidRPr="00000000" w14:paraId="0000004A">
      <w:pPr>
        <w:numPr>
          <w:ilvl w:val="0"/>
          <w:numId w:val="1"/>
        </w:numPr>
        <w:ind w:left="720" w:hanging="360"/>
        <w:rPr>
          <w:sz w:val="20"/>
          <w:szCs w:val="20"/>
          <w:highlight w:val="yellow"/>
          <w:u w:val="none"/>
        </w:rPr>
      </w:pPr>
      <w:r w:rsidDel="00000000" w:rsidR="00000000" w:rsidRPr="00000000">
        <w:rPr>
          <w:sz w:val="20"/>
          <w:szCs w:val="20"/>
          <w:highlight w:val="yellow"/>
          <w:rtl w:val="0"/>
        </w:rPr>
        <w:t xml:space="preserve">Tabs will partner with Government Executive to provide consolidated data reporting for billing, Collections, Cash Forecast, ARR and GAAP Rev Rec through email delivery, any additional reports will be subject to scoping.</w:t>
      </w:r>
    </w:p>
    <w:p w:rsidR="00000000" w:rsidDel="00000000" w:rsidP="00000000" w:rsidRDefault="00000000" w:rsidRPr="00000000" w14:paraId="0000004B">
      <w:pPr>
        <w:ind w:left="0" w:firstLine="0"/>
        <w:rPr>
          <w:sz w:val="20"/>
          <w:szCs w:val="20"/>
        </w:rPr>
      </w:pPr>
      <w:r w:rsidDel="00000000" w:rsidR="00000000" w:rsidRPr="00000000">
        <w:rPr>
          <w:rtl w:val="0"/>
        </w:rPr>
      </w:r>
    </w:p>
    <w:p w:rsidR="00000000" w:rsidDel="00000000" w:rsidP="00000000" w:rsidRDefault="00000000" w:rsidRPr="00000000" w14:paraId="0000004C">
      <w:pPr>
        <w:pStyle w:val="Heading3"/>
        <w:rPr>
          <w:sz w:val="20"/>
          <w:szCs w:val="20"/>
        </w:rPr>
      </w:pPr>
      <w:bookmarkStart w:colFirst="0" w:colLast="0" w:name="_oykkd54hcc96" w:id="9"/>
      <w:bookmarkEnd w:id="9"/>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4D">
      <w:pPr>
        <w:numPr>
          <w:ilvl w:val="0"/>
          <w:numId w:val="1"/>
        </w:numPr>
        <w:ind w:left="720" w:hanging="360"/>
        <w:rPr>
          <w:sz w:val="20"/>
          <w:szCs w:val="20"/>
        </w:rPr>
      </w:pPr>
      <w:r w:rsidDel="00000000" w:rsidR="00000000" w:rsidRPr="00000000">
        <w:rPr>
          <w:sz w:val="20"/>
          <w:szCs w:val="20"/>
          <w:rtl w:val="0"/>
        </w:rPr>
        <w:t xml:space="preserve">.</w:t>
      </w:r>
    </w:p>
    <w:p w:rsidR="00000000" w:rsidDel="00000000" w:rsidP="00000000" w:rsidRDefault="00000000" w:rsidRPr="00000000" w14:paraId="0000004E">
      <w:pPr>
        <w:numPr>
          <w:ilvl w:val="0"/>
          <w:numId w:val="1"/>
        </w:numPr>
        <w:ind w:left="720" w:hanging="360"/>
        <w:rPr>
          <w:sz w:val="20"/>
          <w:szCs w:val="20"/>
          <w:u w:val="none"/>
        </w:rPr>
      </w:pPr>
      <w:r w:rsidDel="00000000" w:rsidR="00000000" w:rsidRPr="00000000">
        <w:rPr>
          <w:sz w:val="20"/>
          <w:szCs w:val="20"/>
          <w:rtl w:val="0"/>
        </w:rPr>
        <w:t xml:space="preserve">.</w:t>
      </w:r>
    </w:p>
    <w:p w:rsidR="00000000" w:rsidDel="00000000" w:rsidP="00000000" w:rsidRDefault="00000000" w:rsidRPr="00000000" w14:paraId="0000004F">
      <w:pPr>
        <w:numPr>
          <w:ilvl w:val="0"/>
          <w:numId w:val="1"/>
        </w:numPr>
        <w:ind w:left="720" w:hanging="360"/>
        <w:rPr>
          <w:sz w:val="20"/>
          <w:szCs w:val="20"/>
          <w:u w:val="none"/>
        </w:rPr>
      </w:pPr>
      <w:r w:rsidDel="00000000" w:rsidR="00000000" w:rsidRPr="00000000">
        <w:rPr>
          <w:sz w:val="20"/>
          <w:szCs w:val="20"/>
          <w:rtl w:val="0"/>
        </w:rPr>
        <w:t xml:space="preserve">.</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spreadsheets/d/1s4T2iSGorwTaAmUQeYDNFsCCEXQEvizW/edit?gid=1307353559#gid=1307353559"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