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30"/>
          <w:szCs w:val="30"/>
          <w:rtl w:val="0"/>
        </w:rPr>
        <w:t xml:space="preserve">Ply</w:t>
      </w:r>
      <w:r w:rsidDel="00000000" w:rsidR="00000000" w:rsidRPr="00000000">
        <w:rPr>
          <w:rFonts w:ascii="JetBrains Mono SemiBold" w:cs="JetBrains Mono SemiBold" w:eastAsia="JetBrains Mono SemiBold" w:hAnsi="JetBrains Mono SemiBold"/>
          <w:i w:val="1"/>
          <w:color w:val="666666"/>
          <w:sz w:val="16"/>
          <w:szCs w:val="16"/>
          <w:rtl w:val="0"/>
        </w:rPr>
        <w:t xml:space="preserve"> </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835699526"/>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br w:type="textWrapping"/>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Very simple, flat SaaS recurring fees</w:t>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Mostly US based clientele, but a small handful of CAN customers (all billed USD)</w:t>
            </w:r>
          </w:p>
          <w:p w:rsidR="00000000" w:rsidDel="00000000" w:rsidP="00000000" w:rsidRDefault="00000000" w:rsidRPr="00000000" w14:paraId="00000009">
            <w:pPr>
              <w:ind w:left="0" w:firstLine="0"/>
              <w:rPr>
                <w:sz w:val="20"/>
                <w:szCs w:val="20"/>
              </w:rPr>
            </w:pPr>
            <w:r w:rsidDel="00000000" w:rsidR="00000000" w:rsidRPr="00000000">
              <w:rPr>
                <w:rtl w:val="0"/>
              </w:rPr>
            </w:r>
          </w:p>
          <w:p w:rsidR="00000000" w:rsidDel="00000000" w:rsidP="00000000" w:rsidRDefault="00000000" w:rsidRPr="00000000" w14:paraId="0000000A">
            <w:pPr>
              <w:ind w:left="0" w:firstLine="0"/>
              <w:rPr>
                <w:sz w:val="20"/>
                <w:szCs w:val="20"/>
              </w:rPr>
            </w:pPr>
            <w:r w:rsidDel="00000000" w:rsidR="00000000" w:rsidRPr="00000000">
              <w:rPr>
                <w:sz w:val="20"/>
                <w:szCs w:val="20"/>
                <w:rtl w:val="0"/>
              </w:rPr>
              <w:t xml:space="preserve">For US customers:</w:t>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Tax IS being charged in a very small handful of jurisdictions</w:t>
            </w:r>
          </w:p>
          <w:p w:rsidR="00000000" w:rsidDel="00000000" w:rsidP="00000000" w:rsidRDefault="00000000" w:rsidRPr="00000000" w14:paraId="0000000C">
            <w:pPr>
              <w:ind w:left="0" w:firstLine="0"/>
              <w:rPr>
                <w:sz w:val="20"/>
                <w:szCs w:val="20"/>
              </w:rPr>
            </w:pPr>
            <w:commentRangeStart w:id="0"/>
            <w:commentRangeStart w:id="1"/>
            <w:r w:rsidDel="00000000" w:rsidR="00000000" w:rsidRPr="00000000">
              <w:rPr>
                <w:sz w:val="20"/>
                <w:szCs w:val="20"/>
                <w:rtl w:val="0"/>
              </w:rPr>
              <w:t xml:space="preserve">Ryan will tell us where Tax is being charged and we will include it in processing</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D">
            <w:pPr>
              <w:ind w:left="0" w:firstLine="0"/>
              <w:rPr>
                <w:sz w:val="20"/>
                <w:szCs w:val="20"/>
              </w:rPr>
            </w:pPr>
            <w:r w:rsidDel="00000000" w:rsidR="00000000" w:rsidRPr="00000000">
              <w:rPr>
                <w:rtl w:val="0"/>
              </w:rPr>
            </w:r>
          </w:p>
          <w:p w:rsidR="00000000" w:rsidDel="00000000" w:rsidP="00000000" w:rsidRDefault="00000000" w:rsidRPr="00000000" w14:paraId="0000000E">
            <w:pPr>
              <w:ind w:left="0" w:firstLine="0"/>
              <w:rPr>
                <w:sz w:val="20"/>
                <w:szCs w:val="20"/>
              </w:rPr>
            </w:pPr>
            <w:r w:rsidDel="00000000" w:rsidR="00000000" w:rsidRPr="00000000">
              <w:rPr>
                <w:sz w:val="20"/>
                <w:szCs w:val="20"/>
                <w:rtl w:val="0"/>
              </w:rPr>
              <w:t xml:space="preserve">For Canada customers:</w:t>
            </w:r>
          </w:p>
          <w:p w:rsidR="00000000" w:rsidDel="00000000" w:rsidP="00000000" w:rsidRDefault="00000000" w:rsidRPr="00000000" w14:paraId="0000000F">
            <w:pPr>
              <w:numPr>
                <w:ilvl w:val="0"/>
                <w:numId w:val="9"/>
              </w:numPr>
              <w:ind w:left="720" w:hanging="360"/>
              <w:rPr>
                <w:sz w:val="20"/>
                <w:szCs w:val="20"/>
              </w:rPr>
            </w:pPr>
            <w:r w:rsidDel="00000000" w:rsidR="00000000" w:rsidRPr="00000000">
              <w:rPr>
                <w:sz w:val="20"/>
                <w:szCs w:val="20"/>
                <w:rtl w:val="0"/>
              </w:rPr>
              <w:t xml:space="preserve">Very small volume</w:t>
            </w:r>
          </w:p>
          <w:p w:rsidR="00000000" w:rsidDel="00000000" w:rsidP="00000000" w:rsidRDefault="00000000" w:rsidRPr="00000000" w14:paraId="00000010">
            <w:pPr>
              <w:numPr>
                <w:ilvl w:val="0"/>
                <w:numId w:val="9"/>
              </w:numPr>
              <w:ind w:left="720" w:hanging="360"/>
              <w:rPr>
                <w:sz w:val="20"/>
                <w:szCs w:val="20"/>
              </w:rPr>
            </w:pPr>
            <w:r w:rsidDel="00000000" w:rsidR="00000000" w:rsidRPr="00000000">
              <w:rPr>
                <w:sz w:val="20"/>
                <w:szCs w:val="20"/>
                <w:rtl w:val="0"/>
              </w:rPr>
              <w:t xml:space="preserve">USD</w:t>
            </w:r>
          </w:p>
          <w:p w:rsidR="00000000" w:rsidDel="00000000" w:rsidP="00000000" w:rsidRDefault="00000000" w:rsidRPr="00000000" w14:paraId="00000011">
            <w:pPr>
              <w:numPr>
                <w:ilvl w:val="0"/>
                <w:numId w:val="9"/>
              </w:numPr>
              <w:ind w:left="720" w:hanging="360"/>
              <w:rPr>
                <w:sz w:val="20"/>
                <w:szCs w:val="20"/>
              </w:rPr>
            </w:pPr>
            <w:r w:rsidDel="00000000" w:rsidR="00000000" w:rsidRPr="00000000">
              <w:rPr>
                <w:sz w:val="20"/>
                <w:szCs w:val="20"/>
                <w:rtl w:val="0"/>
              </w:rPr>
              <w:t xml:space="preserve">No special taxes or language requirements</w:t>
            </w:r>
          </w:p>
          <w:p w:rsidR="00000000" w:rsidDel="00000000" w:rsidP="00000000" w:rsidRDefault="00000000" w:rsidRPr="00000000" w14:paraId="00000012">
            <w:pPr>
              <w:ind w:left="720" w:firstLine="0"/>
              <w:rPr>
                <w:strike w:val="1"/>
                <w:sz w:val="20"/>
                <w:szCs w:val="20"/>
                <w:shd w:fill="d9ead3" w:val="clear"/>
              </w:rPr>
            </w:pPr>
            <w:r w:rsidDel="00000000" w:rsidR="00000000" w:rsidRPr="00000000">
              <w:rPr>
                <w:sz w:val="20"/>
                <w:szCs w:val="20"/>
                <w:shd w:fill="d9ead3" w:val="clear"/>
                <w:rtl w:val="0"/>
              </w:rPr>
              <w:br w:type="textWrapping"/>
              <w:t xml:space="preserve">1) What is the merchant temperament? </w:t>
            </w: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sz w:val="20"/>
                <w:szCs w:val="20"/>
                <w:rtl w:val="0"/>
              </w:rPr>
              <w:t xml:space="preserve">Fellow primary company, very smart but slightly anxious</w:t>
            </w:r>
          </w:p>
          <w:p w:rsidR="00000000" w:rsidDel="00000000" w:rsidP="00000000" w:rsidRDefault="00000000" w:rsidRPr="00000000" w14:paraId="00000014">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5">
            <w:pPr>
              <w:ind w:left="720" w:firstLine="0"/>
              <w:rPr>
                <w:sz w:val="20"/>
                <w:szCs w:val="20"/>
              </w:rPr>
            </w:pPr>
            <w:r w:rsidDel="00000000" w:rsidR="00000000" w:rsidRPr="00000000">
              <w:rPr>
                <w:rtl w:val="0"/>
              </w:rPr>
            </w:r>
          </w:p>
          <w:p w:rsidR="00000000" w:rsidDel="00000000" w:rsidP="00000000" w:rsidRDefault="00000000" w:rsidRPr="00000000" w14:paraId="00000016">
            <w:pPr>
              <w:widowControl w:val="0"/>
              <w:spacing w:line="240" w:lineRule="auto"/>
              <w:rPr>
                <w:sz w:val="20"/>
                <w:szCs w:val="20"/>
              </w:rPr>
            </w:pPr>
            <w:r w:rsidDel="00000000" w:rsidR="00000000" w:rsidRPr="00000000">
              <w:rPr>
                <w:sz w:val="20"/>
                <w:szCs w:val="20"/>
                <w:rtl w:val="0"/>
              </w:rPr>
              <w:t xml:space="preserve">Ply sells to SMBs, and their sales team often needs to invoice customers immediately, sometimes without a signed contract. Our proposed solution (discussed with Vanessa) involves building an order form for their sales team to submit directly to Tabs, enabling automated invoice generation and delivery without any additional human intervention.</w:t>
            </w:r>
          </w:p>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They also want to use our API to pull out data for their own financial modeling.</w:t>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We aligned on a solution for this in scoping per Slack #Ply channel:</w:t>
            </w:r>
          </w:p>
          <w:p w:rsidR="00000000" w:rsidDel="00000000" w:rsidP="00000000" w:rsidRDefault="00000000" w:rsidRPr="00000000" w14:paraId="0000001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C">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During implementation Tabs will help them design a form that we can process as quickly as possible (we get to do the formatting so it is easiest for us). </w:t>
            </w:r>
          </w:p>
          <w:p w:rsidR="00000000" w:rsidDel="00000000" w:rsidP="00000000" w:rsidRDefault="00000000" w:rsidRPr="00000000" w14:paraId="0000001D">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"Instant" processing isn't realistic but we can do "hands-free contract processing". Once the AE sends us an order form, there is nothing more they need to do and they can trust that we will get the invoice out quickly. NO specific SLA to be provided.</w:t>
            </w:r>
          </w:p>
          <w:p w:rsidR="00000000" w:rsidDel="00000000" w:rsidP="00000000" w:rsidRDefault="00000000" w:rsidRPr="00000000" w14:paraId="0000001E">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Tabs will send the invoice once processed. We can add this to #product-ops-requests after the deal closes.</w:t>
            </w:r>
          </w:p>
          <w:p w:rsidR="00000000" w:rsidDel="00000000" w:rsidP="00000000" w:rsidRDefault="00000000" w:rsidRPr="00000000" w14:paraId="0000001F">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Ply can use out API endpoints to GET any data into their internal tool. Tabs will not own any build on this.</w:t>
            </w:r>
          </w:p>
          <w:p w:rsidR="00000000" w:rsidDel="00000000" w:rsidP="00000000" w:rsidRDefault="00000000" w:rsidRPr="00000000" w14:paraId="00000020">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We cannot commit to getting data into their BI tool, but they're welcome to build against our APIs and put the data there. We don't have a "churn" metric yet but the best signal for churn is probably an obligation that ends without another obligation beginning.</w:t>
            </w:r>
          </w:p>
        </w:tc>
      </w:tr>
    </w:tbl>
    <w:p w:rsidR="00000000" w:rsidDel="00000000" w:rsidP="00000000" w:rsidRDefault="00000000" w:rsidRPr="00000000" w14:paraId="0000002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2">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23">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C">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2D">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E">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F">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0">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1">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2">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33">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4">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5">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36">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7">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8">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9">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A">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B">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C">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D">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E">
      <w:pPr>
        <w:ind w:left="720" w:firstLine="0"/>
        <w:rPr>
          <w:sz w:val="20"/>
          <w:szCs w:val="20"/>
        </w:rPr>
      </w:pPr>
      <w:r w:rsidDel="00000000" w:rsidR="00000000" w:rsidRPr="00000000">
        <w:rPr>
          <w:rtl w:val="0"/>
        </w:rPr>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1">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2">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3">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4">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5">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6">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7">
      <w:pPr>
        <w:ind w:left="720" w:firstLine="0"/>
        <w:rPr>
          <w:sz w:val="20"/>
          <w:szCs w:val="20"/>
          <w:highlight w:val="yellow"/>
        </w:rPr>
      </w:pPr>
      <w:r w:rsidDel="00000000" w:rsidR="00000000" w:rsidRPr="00000000">
        <w:rPr>
          <w:rtl w:val="0"/>
        </w:rPr>
      </w:r>
    </w:p>
    <w:p w:rsidR="00000000" w:rsidDel="00000000" w:rsidP="00000000" w:rsidRDefault="00000000" w:rsidRPr="00000000" w14:paraId="00000048">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9">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A">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B">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C">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4D">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4E">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4F">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0">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1">
      <w:pPr>
        <w:ind w:left="0" w:firstLine="0"/>
        <w:rPr>
          <w:sz w:val="20"/>
          <w:szCs w:val="20"/>
        </w:rPr>
      </w:pPr>
      <w:r w:rsidDel="00000000" w:rsidR="00000000" w:rsidRPr="00000000">
        <w:rPr>
          <w:rtl w:val="0"/>
        </w:rPr>
      </w:r>
    </w:p>
    <w:p w:rsidR="00000000" w:rsidDel="00000000" w:rsidP="00000000" w:rsidRDefault="00000000" w:rsidRPr="00000000" w14:paraId="00000052">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3">
      <w:pPr>
        <w:numPr>
          <w:ilvl w:val="0"/>
          <w:numId w:val="2"/>
        </w:numPr>
        <w:ind w:left="720" w:hanging="360"/>
        <w:rPr>
          <w:sz w:val="20"/>
          <w:szCs w:val="20"/>
        </w:rPr>
      </w:pPr>
      <w:r w:rsidDel="00000000" w:rsidR="00000000" w:rsidRPr="00000000">
        <w:rPr>
          <w:sz w:val="20"/>
          <w:szCs w:val="20"/>
          <w:rtl w:val="0"/>
        </w:rPr>
        <w:t xml:space="preserve">4/25 Initial call to reconnect: </w:t>
      </w:r>
      <w:hyperlink r:id="rId7">
        <w:r w:rsidDel="00000000" w:rsidR="00000000" w:rsidRPr="00000000">
          <w:rPr>
            <w:color w:val="1155cc"/>
            <w:sz w:val="20"/>
            <w:szCs w:val="20"/>
            <w:u w:val="single"/>
            <w:rtl w:val="0"/>
          </w:rPr>
          <w:t xml:space="preserve">https://us-56595.app.gong.io/call?id=7774983638386825133</w:t>
        </w:r>
      </w:hyperlink>
      <w:r w:rsidDel="00000000" w:rsidR="00000000" w:rsidRPr="00000000">
        <w:rPr>
          <w:rtl w:val="0"/>
        </w:rPr>
      </w:r>
    </w:p>
    <w:p w:rsidR="00000000" w:rsidDel="00000000" w:rsidP="00000000" w:rsidRDefault="00000000" w:rsidRPr="00000000" w14:paraId="00000054">
      <w:pPr>
        <w:numPr>
          <w:ilvl w:val="0"/>
          <w:numId w:val="2"/>
        </w:numPr>
        <w:ind w:left="720" w:hanging="360"/>
        <w:rPr>
          <w:sz w:val="20"/>
          <w:szCs w:val="20"/>
        </w:rPr>
      </w:pPr>
      <w:r w:rsidDel="00000000" w:rsidR="00000000" w:rsidRPr="00000000">
        <w:rPr>
          <w:sz w:val="20"/>
          <w:szCs w:val="20"/>
          <w:rtl w:val="0"/>
        </w:rPr>
        <w:t xml:space="preserve">4/29 Scoping call with Vanessa: </w:t>
      </w:r>
      <w:hyperlink r:id="rId8">
        <w:r w:rsidDel="00000000" w:rsidR="00000000" w:rsidRPr="00000000">
          <w:rPr>
            <w:color w:val="1155cc"/>
            <w:sz w:val="20"/>
            <w:szCs w:val="20"/>
            <w:u w:val="single"/>
            <w:rtl w:val="0"/>
          </w:rPr>
          <w:t xml:space="preserve">https://us-56595.app.gong.io/call?id=7590695297893420352</w:t>
        </w:r>
      </w:hyperlink>
      <w:r w:rsidDel="00000000" w:rsidR="00000000" w:rsidRPr="00000000">
        <w:rPr>
          <w:rtl w:val="0"/>
        </w:rPr>
      </w:r>
    </w:p>
    <w:p w:rsidR="00000000" w:rsidDel="00000000" w:rsidP="00000000" w:rsidRDefault="00000000" w:rsidRPr="00000000" w14:paraId="00000055">
      <w:pPr>
        <w:numPr>
          <w:ilvl w:val="0"/>
          <w:numId w:val="2"/>
        </w:numPr>
        <w:ind w:left="720" w:hanging="360"/>
        <w:rPr>
          <w:sz w:val="20"/>
          <w:szCs w:val="20"/>
        </w:rPr>
      </w:pPr>
      <w:r w:rsidDel="00000000" w:rsidR="00000000" w:rsidRPr="00000000">
        <w:rPr>
          <w:sz w:val="20"/>
          <w:szCs w:val="20"/>
          <w:rtl w:val="0"/>
        </w:rPr>
        <w:t xml:space="preserve">5/14 Call with Scott at Primary and Ryan, walking them through the platform: </w:t>
      </w:r>
      <w:hyperlink r:id="rId9">
        <w:r w:rsidDel="00000000" w:rsidR="00000000" w:rsidRPr="00000000">
          <w:rPr>
            <w:color w:val="1155cc"/>
            <w:sz w:val="20"/>
            <w:szCs w:val="20"/>
            <w:u w:val="single"/>
            <w:rtl w:val="0"/>
          </w:rPr>
          <w:t xml:space="preserve">https://us-56595.app.gong.io/call?id=5664666681402284111</w:t>
        </w:r>
      </w:hyperlink>
      <w:r w:rsidDel="00000000" w:rsidR="00000000" w:rsidRPr="00000000">
        <w:rPr>
          <w:rtl w:val="0"/>
        </w:rPr>
      </w:r>
    </w:p>
    <w:p w:rsidR="00000000" w:rsidDel="00000000" w:rsidP="00000000" w:rsidRDefault="00000000" w:rsidRPr="00000000" w14:paraId="00000056">
      <w:pPr>
        <w:rPr>
          <w:sz w:val="20"/>
          <w:szCs w:val="20"/>
          <w:highlight w:val="yellow"/>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jun Gopalratnam" w:id="0" w:date="2025-05-17T12:24:56Z">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recommend we instead have them put their taxable jurisdictions and rates in QBO so that this is automated and not something that Ops has to do. QBO AST is free and perfect for this use case from what I can tell.</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@rkok@tabsplatform.com</w:t>
      </w:r>
    </w:p>
  </w:comment>
  <w:comment w:author="Royce Kok" w:id="1" w:date="2025-05-19T15:24:05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Acknowledge!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us-56595.app.gong.io/call?id=566466668140228411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us-56595.app.gong.io/call?id=7774983638386825133" TargetMode="External"/><Relationship Id="rId8" Type="http://schemas.openxmlformats.org/officeDocument/2006/relationships/hyperlink" Target="https://us-56595.app.gong.io/call?id=759069529789342035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