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Together AI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73410839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ht04hhvfhyy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Hanson Hermsmeier: VP, Corporate Finance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John Lee: Director of FinOps and Accounting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 Yen: Accounting &amp; Financial Operations Lead at Together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Sales-Led (SLG / Forge &amp; Dedicated):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Contracts typically include pre-committed GPU quantities (e.g., H100s) with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staggered delivery schedules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Customers are invoiced according to preset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order form billing schedules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(e.g., 15% upfront, balance over monthly/quarterly installments).</w:t>
              <w:br w:type="textWrapping"/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Challenge: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Actual deliveries often differ from contracted quantities or dates → Together issues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credits to invoices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when partial deliveries occur.</w:t>
              <w:br w:type="textWrapping"/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Revenue Recognition: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Needs to track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daily delivery-based revenue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not just order form assumptions.</w:t>
              <w:br w:type="textWrapping"/>
            </w:r>
          </w:p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Product-Led (PLG / Serverless):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Usage-based, tracked in Metronome/Stripe. Revenue recognition follows burn-down of actual usage.</w:t>
              <w:br w:type="textWrapping"/>
            </w:r>
          </w:p>
          <w:p w:rsidR="00000000" w:rsidDel="00000000" w:rsidP="00000000" w:rsidRDefault="00000000" w:rsidRPr="00000000" w14:paraId="000000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Reality Today: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Delivery confirmations live with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TAMs in Slack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→ John &amp; Tim manually reconcile into Salesforce/QuickBooks. This creates risk of missed dates and mismatches between invoicing and actual delivery.</w:t>
              <w:br w:type="textWrapping"/>
            </w:r>
          </w:p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Future State with Tabs: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Contract-driven invoicing continues, while delivery data (eventually via Salesforce, interim via custom entry tool) drives credits and daily rev rec.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Collaborative but exacting: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They see Tabs as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partner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not just a vendor, and expect us to help shape their future-state workflows. They’re open to our guidance but want clarity and confidence in execution.</w:t>
              <w:br w:type="textWrapping"/>
            </w:r>
          </w:p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Detail-oriented &amp; risk-aware: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John and Tim press into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operational details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(edge cases, credits, partial deliveries) and want to ensure short-term workflows are efficient, not just future-proof. They’ll push for specifics.</w:t>
              <w:br w:type="textWrapping"/>
            </w:r>
          </w:p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Busy &amp; bandwidth-constrained: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Team is under heavy load (NetSuite go-live, audit prep, scaling pains). They appreciate when we respect time, frame work clearly, and remove ambiguity.</w:t>
              <w:br w:type="textWrapping"/>
            </w:r>
          </w:p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Forward-looking: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Hanson, John, and Tim buy into Tabs’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long-term vision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are motivated by confidence that we can scale with them. They respond well when we show we’ve thought through edge cases and bring best practices from peers.</w:t>
            </w:r>
          </w:p>
          <w:p w:rsidR="00000000" w:rsidDel="00000000" w:rsidP="00000000" w:rsidRDefault="00000000" w:rsidRPr="00000000" w14:paraId="0000001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spacing w:after="80" w:before="28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Partial Deliveries &amp; Flexibility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record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partial GPU deliveries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(quantities + dates) when customers don’t get everything upfront.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Critical that Tabs can handle piecemeal delivery without requiring complex CSV uploads every time.</w:t>
              <w:br w:type="textWrapping"/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flexibility to make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manual adjustments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if TAMs miss a Slack/Salesforce update.</w:t>
              <w:br w:type="textWrapping"/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Daily Revenue Recognition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must be recognized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daily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not monthly, to match GPU delivery schedules.</w:t>
              <w:br w:type="textWrapping"/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confidence that Tabs can automate daily rev rec based on deliveries while maintaining clean audit trails.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Credits Applied to Invoices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follows preset schedules from order forms, but if deliveries lag, Together needs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credits automatically reflected on invoices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Transparency on credits is essential for collections - their customers push back if invoices don’t match perceived delivery.</w:t>
              <w:br w:type="textWrapping"/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TAM → Slack → Salesforce Workflow Bridging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source of truth for deliveries is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TAM updates in Slack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→ manually logged by Finance.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know long-term this should flow into Salesforce, but in the short-term, Tabs needs to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bridge the messy workflow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(e.g., lightweight delivery-entry tool feeding Tabs).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Contract Ingestion &amp; Order Form Handling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expect Tabs to parse Salesforce contracts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auto-generate billing schedules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aligned to order forms.</w:t>
              <w:br w:type="textWrapping"/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 handle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multiple order forms &amp; amendments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with products and billing separated but rolled up as needed.</w:t>
              <w:br w:type="textWrapping"/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Audit-Ready Reporting &amp; Controls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Auditors (KPMG) require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clear linkages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from contract → invoice → revenue schedule → credits.</w:t>
              <w:br w:type="textWrapping"/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needs to provide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deferred revenue balances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allow drill-down by product/order form for audit confidence.</w:t>
              <w:br w:type="textWrapping"/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3"/>
              <w:keepNext w:val="0"/>
              <w:keepLines w:val="0"/>
              <w:widowControl w:val="0"/>
              <w:spacing w:after="80" w:before="280" w:line="240" w:lineRule="auto"/>
              <w:rPr>
                <w:sz w:val="20"/>
                <w:szCs w:val="20"/>
              </w:rPr>
            </w:pPr>
            <w:bookmarkStart w:colFirst="0" w:colLast="0" w:name="_9kk9emdvhylu" w:id="4"/>
            <w:bookmarkEnd w:id="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>
          <w:sz w:val="20"/>
          <w:szCs w:val="20"/>
        </w:rPr>
      </w:pPr>
      <w:bookmarkStart w:colFirst="0" w:colLast="0" w:name="_ymdiz825wd3r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1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2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3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7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8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Initial engagement in April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https://us-56595.app.gong.io/call?id=3462223747963090731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https://us-56595.app.gong.io/call?id=4604135196049169058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https://us-56595.app.gong.io/call?id=8673431345029870124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https://us-56595.app.gong.io/call?id=2229408846509169186</w:t>
        </w:r>
      </w:hyperlink>
      <w:r w:rsidDel="00000000" w:rsidR="00000000" w:rsidRPr="00000000">
        <w:rPr>
          <w:sz w:val="20"/>
          <w:szCs w:val="20"/>
          <w:rtl w:val="0"/>
        </w:rPr>
        <w:t xml:space="preserve"> (Ali + Arjun onsite)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Reconnect in July (most relevant)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https://us-56595.app.gong.io/call?id=7924517790592194488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https://us-56595.app.gong.io/call?id=2831024927795171409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https://us-56595.app.gong.io/call?id=1060300484060458314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https://us-56595.app.gong.io/call?id=596478576492580852</w:t>
        </w:r>
      </w:hyperlink>
      <w:r w:rsidDel="00000000" w:rsidR="00000000" w:rsidRPr="00000000">
        <w:rPr>
          <w:sz w:val="20"/>
          <w:szCs w:val="20"/>
          <w:rtl w:val="0"/>
        </w:rPr>
        <w:t xml:space="preserve"> (Commercials)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https://us-56595.app.gong.io/call?id=4018711836905198901</w:t>
        </w:r>
      </w:hyperlink>
      <w:r w:rsidDel="00000000" w:rsidR="00000000" w:rsidRPr="00000000">
        <w:rPr>
          <w:sz w:val="20"/>
          <w:szCs w:val="20"/>
          <w:rtl w:val="0"/>
        </w:rPr>
        <w:t xml:space="preserve"> (VOC)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https://us-56595.app.gong.io/call?id=8411860981079838910</w:t>
        </w:r>
      </w:hyperlink>
      <w:r w:rsidDel="00000000" w:rsidR="00000000" w:rsidRPr="00000000">
        <w:rPr>
          <w:sz w:val="20"/>
          <w:szCs w:val="20"/>
          <w:rtl w:val="0"/>
        </w:rPr>
        <w:t xml:space="preserve"> (More Discovery)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https://us-56595.app.gong.io/call?id=6261461696919887046</w:t>
        </w:r>
      </w:hyperlink>
      <w:r w:rsidDel="00000000" w:rsidR="00000000" w:rsidRPr="00000000">
        <w:rPr>
          <w:sz w:val="20"/>
          <w:szCs w:val="20"/>
          <w:rtl w:val="0"/>
        </w:rPr>
        <w:t xml:space="preserve"> (Technical Alignment - important)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https://us-56595.app.gong.io/call?id=2056231916855598661</w:t>
        </w:r>
      </w:hyperlink>
      <w:r w:rsidDel="00000000" w:rsidR="00000000" w:rsidRPr="00000000">
        <w:rPr>
          <w:sz w:val="20"/>
          <w:szCs w:val="20"/>
          <w:rtl w:val="0"/>
        </w:rPr>
        <w:t xml:space="preserve"> (Sandbox review pt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https://us-56595.app.gong.io/call?id=514462080804383045</w:t>
        </w:r>
      </w:hyperlink>
      <w:r w:rsidDel="00000000" w:rsidR="00000000" w:rsidRPr="00000000">
        <w:rPr>
          <w:sz w:val="20"/>
          <w:szCs w:val="20"/>
          <w:rtl w:val="0"/>
        </w:rPr>
        <w:t xml:space="preserve"> (Sandbox review pt 2 - important)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us-56595.app.gong.io/call?id=2831024927795171409" TargetMode="External"/><Relationship Id="rId10" Type="http://schemas.openxmlformats.org/officeDocument/2006/relationships/hyperlink" Target="https://us-56595.app.gong.io/call?id=7924517790592194488" TargetMode="External"/><Relationship Id="rId13" Type="http://schemas.openxmlformats.org/officeDocument/2006/relationships/hyperlink" Target="https://us-56595.app.gong.io/call?id=596478576492580852" TargetMode="External"/><Relationship Id="rId12" Type="http://schemas.openxmlformats.org/officeDocument/2006/relationships/hyperlink" Target="https://us-56595.app.gong.io/call?id=106030048406045831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2229408846509169186" TargetMode="External"/><Relationship Id="rId15" Type="http://schemas.openxmlformats.org/officeDocument/2006/relationships/hyperlink" Target="https://us-56595.app.gong.io/call?id=8411860981079838910" TargetMode="External"/><Relationship Id="rId14" Type="http://schemas.openxmlformats.org/officeDocument/2006/relationships/hyperlink" Target="https://us-56595.app.gong.io/call?id=4018711836905198901" TargetMode="External"/><Relationship Id="rId17" Type="http://schemas.openxmlformats.org/officeDocument/2006/relationships/hyperlink" Target="https://us-56595.app.gong.io/call?id=2056231916855598661" TargetMode="External"/><Relationship Id="rId16" Type="http://schemas.openxmlformats.org/officeDocument/2006/relationships/hyperlink" Target="https://us-56595.app.gong.io/call?id=6261461696919887046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us-56595.app.gong.io/call?id=3462223747963090731" TargetMode="External"/><Relationship Id="rId18" Type="http://schemas.openxmlformats.org/officeDocument/2006/relationships/hyperlink" Target="https://us-56595.app.gong.io/call?id=514462080804383045" TargetMode="External"/><Relationship Id="rId7" Type="http://schemas.openxmlformats.org/officeDocument/2006/relationships/hyperlink" Target="https://us-56595.app.gong.io/call?id=4604135196049169058" TargetMode="External"/><Relationship Id="rId8" Type="http://schemas.openxmlformats.org/officeDocument/2006/relationships/hyperlink" Target="https://us-56595.app.gong.io/call?id=86734313450298701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