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rPr>
      </w:pPr>
      <w:r>
        <w:rPr>
          <w:rFonts w:cs="Arial"/>
        </w:rPr>
      </w:r>
    </w:p>
    <w:p>
      <w:pPr>
        <w:pStyle w:val="Default"/>
        <w:rPr/>
      </w:pPr>
      <w:r>
        <w:rPr/>
      </w:r>
    </w:p>
    <w:p>
      <w:pPr>
        <w:pStyle w:val="Default"/>
        <w:jc w:val="center"/>
        <w:rPr>
          <w:b/>
          <w:b/>
          <w:bCs/>
          <w:sz w:val="36"/>
          <w:szCs w:val="36"/>
        </w:rPr>
      </w:pPr>
      <w:r>
        <w:rPr>
          <w:b/>
          <w:bCs/>
          <w:sz w:val="36"/>
          <w:szCs w:val="36"/>
        </w:rPr>
        <w:t>TECNOLOGIA E ÉTICA:</w:t>
      </w:r>
    </w:p>
    <w:p>
      <w:pPr>
        <w:pStyle w:val="Default"/>
        <w:jc w:val="center"/>
        <w:rPr>
          <w:sz w:val="36"/>
          <w:szCs w:val="36"/>
        </w:rPr>
      </w:pPr>
      <w:r>
        <w:rPr>
          <w:sz w:val="36"/>
          <w:szCs w:val="36"/>
        </w:rPr>
        <w:t xml:space="preserve">UM ESTUDO SOBRE AS RELAÇÕES INTERPESSOAIS </w:t>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Normal"/>
        <w:spacing w:lineRule="auto" w:line="276"/>
        <w:ind w:left="2127" w:right="0" w:firstLine="705"/>
        <w:jc w:val="right"/>
        <w:rPr/>
      </w:pPr>
      <w:r>
        <w:rPr>
          <w:b/>
          <w:bCs/>
          <w:sz w:val="23"/>
          <w:szCs w:val="23"/>
        </w:rPr>
        <w:t xml:space="preserve">ANA LETYCIA DE LIMA PARENTE </w:t>
      </w:r>
      <w:r>
        <w:rPr>
          <w:bCs/>
          <w:sz w:val="23"/>
          <w:szCs w:val="23"/>
        </w:rPr>
        <w:t xml:space="preserve">(FATEC ZONA LESTE) </w:t>
      </w:r>
    </w:p>
    <w:p>
      <w:pPr>
        <w:pStyle w:val="Normal"/>
        <w:spacing w:lineRule="auto" w:line="276"/>
        <w:ind w:left="2127" w:right="0" w:firstLine="705"/>
        <w:jc w:val="right"/>
        <w:rPr>
          <w:bCs/>
          <w:sz w:val="23"/>
          <w:szCs w:val="23"/>
        </w:rPr>
      </w:pPr>
      <w:r>
        <w:rPr>
          <w:bCs/>
          <w:sz w:val="23"/>
          <w:szCs w:val="23"/>
        </w:rPr>
        <w:t>ana.parente@fatec.sp.gov.br</w:t>
      </w:r>
    </w:p>
    <w:p>
      <w:pPr>
        <w:pStyle w:val="Normal"/>
        <w:spacing w:lineRule="auto" w:line="276"/>
        <w:ind w:left="2127" w:right="0" w:firstLine="705"/>
        <w:jc w:val="right"/>
        <w:rPr/>
      </w:pPr>
      <w:r>
        <w:rPr>
          <w:b/>
          <w:bCs/>
          <w:sz w:val="23"/>
          <w:szCs w:val="23"/>
        </w:rPr>
        <w:t xml:space="preserve">AUGUSTO BELINA MORAES </w:t>
      </w:r>
      <w:r>
        <w:rPr>
          <w:bCs/>
          <w:sz w:val="23"/>
          <w:szCs w:val="23"/>
        </w:rPr>
        <w:t>(FATEC ZONA LESTE)</w:t>
      </w:r>
      <w:r>
        <w:rPr>
          <w:b/>
          <w:bCs/>
          <w:sz w:val="23"/>
          <w:szCs w:val="23"/>
        </w:rPr>
        <w:t xml:space="preserve"> </w:t>
      </w:r>
    </w:p>
    <w:p>
      <w:pPr>
        <w:pStyle w:val="Normal"/>
        <w:spacing w:lineRule="auto" w:line="276"/>
        <w:ind w:left="2127" w:right="0" w:firstLine="705"/>
        <w:jc w:val="right"/>
        <w:rPr>
          <w:bCs/>
          <w:sz w:val="23"/>
          <w:szCs w:val="23"/>
        </w:rPr>
      </w:pPr>
      <w:r>
        <w:rPr>
          <w:bCs/>
          <w:sz w:val="23"/>
          <w:szCs w:val="23"/>
        </w:rPr>
        <w:t>augusto.moraes@fatec.sp.gov.br</w:t>
      </w:r>
    </w:p>
    <w:p>
      <w:pPr>
        <w:pStyle w:val="Normal"/>
        <w:spacing w:lineRule="auto" w:line="276"/>
        <w:ind w:left="2127" w:right="0" w:firstLine="705"/>
        <w:jc w:val="right"/>
        <w:rPr/>
      </w:pPr>
      <w:r>
        <w:rPr>
          <w:b/>
          <w:bCs/>
          <w:sz w:val="23"/>
          <w:szCs w:val="23"/>
        </w:rPr>
        <w:t xml:space="preserve">GUSTAVO SERGIO FERNANDES </w:t>
      </w:r>
      <w:r>
        <w:rPr>
          <w:bCs/>
          <w:sz w:val="23"/>
          <w:szCs w:val="23"/>
        </w:rPr>
        <w:t>(FATEC ZONA LESTE)</w:t>
      </w:r>
      <w:r>
        <w:rPr>
          <w:b/>
          <w:bCs/>
          <w:sz w:val="23"/>
          <w:szCs w:val="23"/>
        </w:rPr>
        <w:t xml:space="preserve"> </w:t>
      </w:r>
    </w:p>
    <w:p>
      <w:pPr>
        <w:pStyle w:val="Normal"/>
        <w:spacing w:lineRule="auto" w:line="276"/>
        <w:ind w:left="2127" w:right="0" w:firstLine="705"/>
        <w:jc w:val="right"/>
        <w:rPr>
          <w:bCs/>
          <w:sz w:val="23"/>
          <w:szCs w:val="23"/>
        </w:rPr>
      </w:pPr>
      <w:r>
        <w:rPr>
          <w:bCs/>
          <w:sz w:val="23"/>
          <w:szCs w:val="23"/>
        </w:rPr>
        <w:t>gustavo.fernandes12@fatec.sp.gov.br</w:t>
      </w:r>
    </w:p>
    <w:p>
      <w:pPr>
        <w:pStyle w:val="Normal"/>
        <w:spacing w:lineRule="auto" w:line="276"/>
        <w:jc w:val="center"/>
        <w:rPr>
          <w:sz w:val="23"/>
          <w:szCs w:val="23"/>
        </w:rPr>
      </w:pPr>
      <w:r>
        <w:rPr>
          <w:sz w:val="23"/>
          <w:szCs w:val="23"/>
        </w:rPr>
      </w:r>
    </w:p>
    <w:p>
      <w:pPr>
        <w:pStyle w:val="Normal"/>
        <w:jc w:val="right"/>
        <w:rPr>
          <w:sz w:val="23"/>
          <w:szCs w:val="23"/>
        </w:rPr>
      </w:pPr>
      <w:r>
        <w:rPr>
          <w:sz w:val="23"/>
          <w:szCs w:val="23"/>
        </w:rPr>
      </w:r>
    </w:p>
    <w:p>
      <w:pPr>
        <w:pStyle w:val="Normal"/>
        <w:jc w:val="right"/>
        <w:rPr>
          <w:sz w:val="23"/>
          <w:szCs w:val="23"/>
        </w:rPr>
      </w:pPr>
      <w:r>
        <w:rPr>
          <w:sz w:val="23"/>
          <w:szCs w:val="23"/>
        </w:rPr>
        <w:t xml:space="preserve"> </w:t>
      </w:r>
    </w:p>
    <w:p>
      <w:pPr>
        <w:pStyle w:val="Normal"/>
        <w:jc w:val="right"/>
        <w:rPr>
          <w:sz w:val="20"/>
          <w:szCs w:val="20"/>
        </w:rPr>
      </w:pPr>
      <w:r>
        <w:rPr>
          <w:sz w:val="20"/>
          <w:szCs w:val="20"/>
        </w:rPr>
      </w:r>
    </w:p>
    <w:p>
      <w:pPr>
        <w:pStyle w:val="Normal"/>
        <w:jc w:val="left"/>
        <w:rPr>
          <w:b/>
          <w:b/>
          <w:sz w:val="20"/>
          <w:szCs w:val="20"/>
        </w:rPr>
      </w:pPr>
      <w:r>
        <w:rPr>
          <w:b/>
          <w:sz w:val="20"/>
          <w:szCs w:val="20"/>
        </w:rPr>
        <w:t>RESUMO</w:t>
      </w:r>
    </w:p>
    <w:p>
      <w:pPr>
        <w:pStyle w:val="Normal"/>
        <w:rPr/>
      </w:pPr>
      <w:r>
        <w:rPr>
          <w:sz w:val="20"/>
          <w:szCs w:val="20"/>
        </w:rPr>
        <w:t xml:space="preserve">Serve como apresentação panorâmica do trabalho. Deve ser apresentado em apenas um único parágrafo, e ter no máximo 250 palavras. Deve conter descrição do tema e do problema, objetivo geral do estudo, metodologia utilizada, resultados obtidos e conclusões. </w:t>
      </w:r>
      <w:r>
        <w:rPr>
          <w:sz w:val="20"/>
          <w:szCs w:val="20"/>
          <w:lang w:val="es-419"/>
        </w:rPr>
        <w:t>Todo o resumo deve vir em espaço simples, letra.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w:t>
      </w:r>
    </w:p>
    <w:p>
      <w:pPr>
        <w:pStyle w:val="Normal"/>
        <w:ind w:left="1701" w:right="0" w:hanging="0"/>
        <w:rPr>
          <w:sz w:val="20"/>
          <w:szCs w:val="20"/>
          <w:lang w:val="es-419"/>
        </w:rPr>
      </w:pPr>
      <w:r>
        <w:rPr>
          <w:sz w:val="20"/>
          <w:szCs w:val="20"/>
          <w:lang w:val="es-419"/>
        </w:rPr>
      </w:r>
    </w:p>
    <w:p>
      <w:pPr>
        <w:pStyle w:val="Normal"/>
        <w:rPr/>
      </w:pPr>
      <w:r>
        <w:rPr>
          <w:b/>
          <w:bCs/>
          <w:sz w:val="20"/>
          <w:szCs w:val="20"/>
        </w:rPr>
        <w:t>PALAVRAS-CHAVE:</w:t>
      </w:r>
      <w:r>
        <w:rPr>
          <w:sz w:val="20"/>
          <w:szCs w:val="20"/>
        </w:rPr>
        <w:t xml:space="preserve"> Ética profissional, Tecnologia da Informação, Assédio, Relações interpessoais</w:t>
      </w:r>
    </w:p>
    <w:p>
      <w:pPr>
        <w:pStyle w:val="Normal"/>
        <w:rPr>
          <w:sz w:val="20"/>
          <w:szCs w:val="20"/>
        </w:rPr>
      </w:pPr>
      <w:r>
        <w:rPr>
          <w:sz w:val="20"/>
          <w:szCs w:val="20"/>
        </w:rPr>
      </w:r>
    </w:p>
    <w:p>
      <w:pPr>
        <w:pStyle w:val="Normal"/>
        <w:jc w:val="left"/>
        <w:rPr>
          <w:b/>
          <w:b/>
          <w:sz w:val="20"/>
          <w:szCs w:val="20"/>
        </w:rPr>
      </w:pPr>
      <w:r>
        <w:rPr>
          <w:b/>
          <w:sz w:val="20"/>
          <w:szCs w:val="20"/>
        </w:rPr>
      </w:r>
    </w:p>
    <w:p>
      <w:pPr>
        <w:pStyle w:val="Normal"/>
        <w:jc w:val="left"/>
        <w:rPr>
          <w:b/>
          <w:b/>
          <w:sz w:val="20"/>
          <w:szCs w:val="20"/>
        </w:rPr>
      </w:pPr>
      <w:r>
        <w:rPr>
          <w:b/>
          <w:sz w:val="20"/>
          <w:szCs w:val="20"/>
        </w:rPr>
      </w:r>
    </w:p>
    <w:p>
      <w:pPr>
        <w:pStyle w:val="Normal"/>
        <w:jc w:val="left"/>
        <w:rPr>
          <w:b/>
          <w:b/>
          <w:i/>
          <w:i/>
          <w:iCs/>
          <w:sz w:val="20"/>
          <w:szCs w:val="20"/>
        </w:rPr>
      </w:pPr>
      <w:r>
        <w:rPr>
          <w:b/>
          <w:i/>
          <w:iCs/>
          <w:sz w:val="20"/>
          <w:szCs w:val="20"/>
        </w:rPr>
      </w:r>
    </w:p>
    <w:p>
      <w:pPr>
        <w:pStyle w:val="Normal"/>
        <w:jc w:val="left"/>
        <w:rPr>
          <w:b/>
          <w:b/>
          <w:i/>
          <w:i/>
          <w:iCs/>
          <w:sz w:val="20"/>
          <w:szCs w:val="20"/>
          <w:lang w:val="en-US"/>
        </w:rPr>
      </w:pPr>
      <w:r>
        <w:rPr>
          <w:b/>
          <w:i/>
          <w:iCs/>
          <w:sz w:val="20"/>
          <w:szCs w:val="20"/>
          <w:lang w:val="en-US"/>
        </w:rPr>
        <w:t>A B S T R A C T</w:t>
      </w:r>
    </w:p>
    <w:p>
      <w:pPr>
        <w:pStyle w:val="Normal"/>
        <w:rPr/>
      </w:pPr>
      <w:r>
        <w:rPr>
          <w:i/>
          <w:iCs/>
          <w:sz w:val="20"/>
          <w:szCs w:val="20"/>
          <w:lang w:val="en-US"/>
        </w:rPr>
        <w:t xml:space="preserve">It is presentes the study. It must be presented in a single paragraph, and have a maximum of 250 words. Must contain description of the theme and the problem, general objective of the study, methodology, results and conclusions reached. </w:t>
      </w:r>
      <w:r>
        <w:rPr>
          <w:i/>
          <w:iCs/>
          <w:sz w:val="20"/>
          <w:szCs w:val="20"/>
          <w:lang w:val="es-419"/>
        </w:rPr>
        <w:t>Any summary should come in single spacing.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w:t>
      </w:r>
    </w:p>
    <w:p>
      <w:pPr>
        <w:pStyle w:val="Normal"/>
        <w:rPr>
          <w:i/>
          <w:i/>
          <w:iCs/>
          <w:sz w:val="20"/>
          <w:szCs w:val="20"/>
          <w:lang w:val="es-419"/>
        </w:rPr>
      </w:pPr>
      <w:r>
        <w:rPr>
          <w:i/>
          <w:iCs/>
          <w:sz w:val="20"/>
          <w:szCs w:val="20"/>
          <w:lang w:val="es-419"/>
        </w:rPr>
      </w:r>
    </w:p>
    <w:p>
      <w:pPr>
        <w:pStyle w:val="Normal"/>
        <w:rPr/>
      </w:pPr>
      <w:r>
        <w:rPr>
          <w:b/>
          <w:i/>
          <w:iCs/>
          <w:sz w:val="20"/>
          <w:szCs w:val="20"/>
        </w:rPr>
        <w:t>Keywords</w:t>
      </w:r>
      <w:r>
        <w:rPr>
          <w:i/>
          <w:iCs/>
          <w:sz w:val="20"/>
          <w:szCs w:val="20"/>
        </w:rPr>
        <w:t>: keyword 1. keyword 2. keyword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0"/>
        </w:numPr>
        <w:ind w:left="360" w:right="0" w:hanging="0"/>
        <w:jc w:val="both"/>
        <w:rPr/>
      </w:pPr>
      <w:bookmarkStart w:id="0" w:name="_Toc208662390"/>
      <w:r>
        <w:rPr/>
        <w:t>INTRODUÇÃO</w:t>
      </w:r>
      <w:bookmarkEnd w:id="0"/>
    </w:p>
    <w:p>
      <w:pPr>
        <w:pStyle w:val="Normal"/>
        <w:spacing w:lineRule="auto" w:line="360"/>
        <w:ind w:left="0" w:right="0" w:firstLine="709"/>
        <w:rPr/>
      </w:pPr>
      <w:r>
        <w:rPr/>
        <w:t xml:space="preserve">Tratando-se de um cenário emergente, como mostram os levantamentos do  Banco Nacional de Empregos – BNE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w:t>
      </w:r>
      <w:r>
        <w:rPr>
          <w:rFonts w:eastAsia="Liberation Serif" w:cs="Liberation Serif"/>
        </w:rPr>
        <w:t>área atual.</w:t>
      </w:r>
    </w:p>
    <w:p>
      <w:pPr>
        <w:pStyle w:val="Normal"/>
        <w:spacing w:lineRule="auto" w:line="360"/>
        <w:ind w:left="0" w:right="0" w:firstLine="708"/>
        <w:rPr/>
      </w:pPr>
      <w:r>
        <w:rPr/>
        <w:t xml:space="preserve">Porém, esta área ainda possui um grande estigma de ser um ambiente majoritariamente dominado por homens – como mostra a pesquisa realizada pelas empresas </w:t>
      </w:r>
      <w:r>
        <w:rPr>
          <w:i/>
          <w:iCs/>
        </w:rPr>
        <w:t>Distrito</w:t>
      </w:r>
      <w:r>
        <w:rPr/>
        <w:t xml:space="preserve">, </w:t>
      </w:r>
      <w:r>
        <w:rPr>
          <w:i/>
          <w:iCs/>
        </w:rPr>
        <w:t>Endeavor</w:t>
      </w:r>
      <w:r>
        <w:rPr/>
        <w:t xml:space="preserve"> e </w:t>
      </w:r>
      <w:r>
        <w:rPr>
          <w:i/>
          <w:iCs/>
        </w:rPr>
        <w:t>B2Mamy</w:t>
      </w:r>
      <w:r>
        <w:rPr/>
        <w:t xml:space="preserve"> (2021), que aponta que menos de 5% das </w:t>
      </w:r>
      <w:r>
        <w:rPr>
          <w:i/>
          <w:iCs/>
        </w:rPr>
        <w:t>startups</w:t>
      </w:r>
      <w:r>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i/>
          <w:iCs/>
        </w:rPr>
        <w:t>“mundo geek”</w:t>
      </w:r>
      <w:r>
        <w:rPr/>
        <w:t xml:space="preserve">, uma das “tribos sociais” onde o foco é direcionado as culturas </w:t>
      </w:r>
      <w:r>
        <w:rPr>
          <w:i/>
          <w:iCs/>
        </w:rPr>
        <w:t>nerd</w:t>
      </w:r>
      <w:r>
        <w:rPr/>
        <w:t xml:space="preserve">, </w:t>
      </w:r>
      <w:r>
        <w:rPr>
          <w:i/>
          <w:iCs/>
        </w:rPr>
        <w:t>tech</w:t>
      </w:r>
      <w:r>
        <w:rPr/>
        <w:t xml:space="preserve"> e </w:t>
      </w:r>
      <w:r>
        <w:rPr>
          <w:i/>
          <w:iCs/>
        </w:rPr>
        <w:t>gamer</w:t>
      </w:r>
      <w:r>
        <w:rPr/>
        <w:t>.</w:t>
      </w:r>
    </w:p>
    <w:p>
      <w:pPr>
        <w:pStyle w:val="Normal"/>
        <w:spacing w:lineRule="auto" w:line="360"/>
        <w:ind w:left="0" w:right="0" w:firstLine="708"/>
        <w:rPr/>
      </w:pPr>
      <w:r>
        <w:rPr/>
        <w:t xml:space="preserve">Nos últimos anos tivemos casos notáveis de como o comportamento de pessoas desse setor podem chegar a níveis altíssimos de arrogância e ignorância, como nos casos da </w:t>
      </w:r>
      <w:r>
        <w:rPr>
          <w:i/>
          <w:iCs/>
        </w:rPr>
        <w:t>“Mudança do Código de Conduta/Conflito do Linux”</w:t>
      </w:r>
      <w:r>
        <w:rPr/>
        <w:t xml:space="preserve"> em 2018 e a polêmica envolvendo os representantes da </w:t>
      </w:r>
      <w:r>
        <w:rPr>
          <w:i/>
          <w:iCs/>
        </w:rPr>
        <w:t>Xbox Brasil</w:t>
      </w:r>
      <w:r>
        <w:rPr/>
        <w:t xml:space="preserve"> em 2020, onde a </w:t>
      </w:r>
      <w:r>
        <w:rPr>
          <w:i/>
          <w:iCs/>
        </w:rPr>
        <w:t>Microsoft</w:t>
      </w:r>
      <w:r>
        <w:rPr/>
        <w:t xml:space="preserve"> decidiu demitir a </w:t>
      </w:r>
      <w:r>
        <w:rPr>
          <w:i/>
          <w:iCs/>
        </w:rPr>
        <w:t>influencer</w:t>
      </w:r>
      <w:r>
        <w:rPr/>
        <w:t xml:space="preserve"> Isadora Basile, após a mesma receber diversas mensagens de assédio e ameaças dos fãs da marca que pediam a volta da </w:t>
      </w:r>
      <w:r>
        <w:rPr>
          <w:i/>
          <w:iCs/>
        </w:rPr>
        <w:t>Xbox Mil Grau</w:t>
      </w:r>
      <w:r>
        <w:rPr/>
        <w:t xml:space="preserve"> – que foi afastada do cargo após acusações de machismo, racismo e homofobia – como representante oficial da marca no país.</w:t>
      </w:r>
    </w:p>
    <w:p>
      <w:pPr>
        <w:pStyle w:val="Normal"/>
        <w:spacing w:lineRule="auto" w:line="360"/>
        <w:ind w:left="0" w:right="0" w:firstLine="708"/>
        <w:rPr/>
      </w:pPr>
      <w:r>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
        <w:spacing w:lineRule="auto" w:line="360"/>
        <w:ind w:left="0" w:right="0" w:firstLine="708"/>
        <w:rPr/>
      </w:pPr>
      <w:r>
        <w:rPr/>
        <w:t>O objetivo desta pesquisa é analisar as consequências da falta da adoção de procedimentos éticos no setor da tecnologia.</w:t>
      </w:r>
    </w:p>
    <w:p>
      <w:pPr>
        <w:pStyle w:val="Normal"/>
        <w:spacing w:lineRule="auto" w:line="360"/>
        <w:ind w:left="0" w:right="0" w:firstLine="709"/>
        <w:rPr/>
      </w:pPr>
      <w:r>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
        <w:spacing w:lineRule="auto" w:line="360"/>
        <w:ind w:left="0" w:right="0" w:firstLine="708"/>
        <w:rPr/>
      </w:pPr>
      <w:r>
        <w:rPr/>
        <w:t>Com a análise de situações reais e, ainda atuais o projeto procura se ater aos resultados de situações que não se encaixam apenas no conceito empresarial de uma organização, mas na sociedade em seus pormenores. A tecnologia até então evolução do homem depende de uma sociedade de comportamento maduro e responsável diante das redes para uma melhor comunicação entre os indivíduos.</w:t>
      </w:r>
    </w:p>
    <w:p>
      <w:pPr>
        <w:pStyle w:val="Normal"/>
        <w:spacing w:lineRule="auto" w:line="360"/>
        <w:ind w:left="0" w:right="0" w:firstLine="708"/>
        <w:rPr/>
      </w:pPr>
      <w:r>
        <w:rPr/>
        <w:t xml:space="preserve">Entretanto, abordaremos casos que não são isolados, mas influentes de tal forma que demonstram o reflexo dos diversos espectros da comunidade </w:t>
      </w:r>
      <w:r>
        <w:rPr>
          <w:i/>
          <w:iCs/>
        </w:rPr>
        <w:t>geek;</w:t>
      </w:r>
      <w:r>
        <w:rPr/>
        <w:t xml:space="preserve"> que não estão presentes apenas em jogos </w:t>
      </w:r>
      <w:r>
        <w:rPr>
          <w:i/>
          <w:iCs/>
        </w:rPr>
        <w:t xml:space="preserve">online ou </w:t>
      </w:r>
      <w:r>
        <w:rPr/>
        <w:t>partidas ranqueadas, mas sim em grandes e pequenas empresas, expondo suas opiniões de diversas formas e, ofendendo, deliberadamente através de um forte discurso com os mais diversos pretextos de originalidade, coletividade e o que é “certo”.</w:t>
      </w:r>
    </w:p>
    <w:p>
      <w:pPr>
        <w:pStyle w:val="Normal"/>
        <w:spacing w:lineRule="auto" w:line="360"/>
        <w:ind w:left="0" w:right="0" w:firstLine="709"/>
        <w:rPr/>
      </w:pPr>
      <w:r>
        <w:rPr/>
      </w:r>
    </w:p>
    <w:p>
      <w:pPr>
        <w:pStyle w:val="Normal"/>
        <w:spacing w:lineRule="auto" w:line="360"/>
        <w:ind w:left="0" w:right="0" w:firstLine="709"/>
        <w:rPr>
          <w:b/>
          <w:b/>
          <w:bCs/>
          <w:sz w:val="28"/>
        </w:rPr>
      </w:pPr>
      <w:r>
        <w:rPr>
          <w:b/>
          <w:bCs/>
          <w:sz w:val="28"/>
        </w:rPr>
      </w:r>
      <w:r>
        <w:br w:type="page"/>
      </w:r>
    </w:p>
    <w:p>
      <w:pPr>
        <w:pStyle w:val="Normal"/>
        <w:spacing w:lineRule="auto" w:line="360"/>
        <w:ind w:left="0" w:right="0" w:firstLine="709"/>
        <w:rPr/>
      </w:pPr>
      <w:r>
        <w:rPr/>
      </w:r>
    </w:p>
    <w:p>
      <w:pPr>
        <w:pStyle w:val="Normal"/>
        <w:spacing w:lineRule="auto" w:line="360"/>
        <w:rPr>
          <w:b/>
          <w:b/>
          <w:bCs/>
          <w:sz w:val="28"/>
          <w:szCs w:val="28"/>
        </w:rPr>
      </w:pPr>
      <w:r>
        <w:rPr>
          <w:b/>
          <w:bCs/>
          <w:sz w:val="28"/>
          <w:szCs w:val="28"/>
        </w:rPr>
        <w:t>EMBASAMENTO TEÓRICO</w:t>
      </w:r>
    </w:p>
    <w:p>
      <w:pPr>
        <w:pStyle w:val="Normal"/>
        <w:spacing w:lineRule="auto" w:line="360"/>
        <w:rPr/>
      </w:pPr>
      <w:r>
        <w:rPr/>
      </w:r>
    </w:p>
    <w:p>
      <w:pPr>
        <w:pStyle w:val="Normal"/>
        <w:spacing w:lineRule="auto" w:line="360"/>
        <w:rPr>
          <w:b/>
          <w:b/>
          <w:bCs/>
          <w:sz w:val="28"/>
        </w:rPr>
      </w:pPr>
      <w:r>
        <w:rPr>
          <w:b/>
          <w:bCs/>
          <w:sz w:val="28"/>
        </w:rPr>
        <w:t>O SETOR DE TECNOLOGIA NO SÉCULO XXI</w:t>
      </w:r>
    </w:p>
    <w:p>
      <w:pPr>
        <w:pStyle w:val="Normal"/>
        <w:spacing w:lineRule="auto" w:line="360"/>
        <w:ind w:left="0" w:right="0" w:firstLine="709"/>
        <w:rPr/>
      </w:pPr>
      <w:r>
        <w:rPr/>
        <w:t xml:space="preserve">Desde o início dos anos 2000 a tecnologia tem se tornado cada vez mais presente no cotidiano das pessoas, indo do acesso à internet até a indispensável presença dos </w:t>
      </w:r>
      <w:r>
        <w:rPr>
          <w:i/>
          <w:iCs/>
        </w:rPr>
        <w:t>smartphones</w:t>
      </w:r>
      <w:r>
        <w:rPr/>
        <w:t xml:space="preserve"> no nosso dia a dia, é praticamente impossível imaginar passar até mesmo um único dia longe de tudo isso.</w:t>
      </w:r>
    </w:p>
    <w:p>
      <w:pPr>
        <w:pStyle w:val="Normal"/>
        <w:spacing w:lineRule="auto" w:line="360"/>
        <w:ind w:left="0" w:right="0" w:firstLine="709"/>
        <w:rPr/>
      </w:pPr>
      <w:r>
        <w:rPr/>
        <w:t>Embora classes menos favorecidas ainda possuam uma certa dificuldade de acesso a tecnologias que por muitos são consideradas “básicas” – como mostra pesquisa do PNAD (</w:t>
      </w:r>
      <w:r>
        <w:rPr>
          <w:rFonts w:eastAsia="Noto Serif CJK SC" w:cs="Noto Sans Devanagari"/>
          <w:kern w:val="2"/>
          <w:lang w:eastAsia="zh-CN" w:bidi="hi-IN"/>
        </w:rPr>
        <w:t>2018</w:t>
      </w:r>
      <w:r>
        <w:rPr/>
        <w:t xml:space="preserve">) divulgada pelo IBGE no ano de 2020, que aponta que 1 em cada 4 brasileiros não possui acesso à internet (o que gera um número absoluto na casa dos 46 milhões) – em diversos outros setores, o avanço tecnológico tem sido imenso, como a evolução da área de </w:t>
      </w:r>
      <w:r>
        <w:rPr>
          <w:i/>
          <w:iCs/>
        </w:rPr>
        <w:t>Machine Learning</w:t>
      </w:r>
      <w:r>
        <w:rPr/>
        <w:t xml:space="preserve"> e </w:t>
      </w:r>
      <w:r>
        <w:rPr>
          <w:i/>
          <w:iCs/>
        </w:rPr>
        <w:t>Inteligência Artificial</w:t>
      </w:r>
      <w:r>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
        <w:spacing w:lineRule="auto" w:line="360"/>
        <w:ind w:left="0" w:right="0" w:firstLine="709"/>
        <w:rPr/>
      </w:pPr>
      <w:r>
        <w:rPr/>
        <w:t xml:space="preserve">É notável também o impacto cultural que estes avanços têm causado na sociedade, sendo responsáveis por gerar diversas </w:t>
      </w:r>
      <w:r>
        <w:rPr>
          <w:i/>
          <w:iCs/>
        </w:rPr>
        <w:t>startups</w:t>
      </w:r>
      <w:r>
        <w:rPr/>
        <w:t xml:space="preserve"> ao redor do mundo que acabam por se tornam gigantes do mercado em um espaço de tempo relativamente curto como a </w:t>
      </w:r>
      <w:r>
        <w:rPr>
          <w:i/>
          <w:iCs/>
        </w:rPr>
        <w:t>Uber</w:t>
      </w:r>
      <w:r>
        <w:rPr/>
        <w:t xml:space="preserve">, fundada em março de 2009 e </w:t>
      </w:r>
      <w:r>
        <w:rPr>
          <w:rFonts w:eastAsia="Noto Serif CJK SC" w:cs="Noto Sans Devanagari"/>
          <w:kern w:val="2"/>
          <w:lang w:eastAsia="zh-CN" w:bidi="hi-IN"/>
        </w:rPr>
        <w:t>no ano de</w:t>
      </w:r>
      <w:r>
        <w:rPr/>
        <w:t xml:space="preserve"> 2015 já era considerada uma das empresas mais importantes e influentes do mundo, gerando o conceito que hoje entendemos por </w:t>
      </w:r>
      <w:r>
        <w:rPr>
          <w:i/>
          <w:iCs/>
        </w:rPr>
        <w:t>“Uberização do trabalho”</w:t>
      </w:r>
      <w:r>
        <w:rPr/>
        <w:t xml:space="preserve"> – que define os trabalhos realizados por aplicativos (como motorista particular, entregador de compras e etc) que não </w:t>
      </w:r>
      <w:r>
        <w:rPr>
          <w:rFonts w:eastAsia="Noto Serif CJK SC" w:cs="Noto Sans Devanagari"/>
          <w:kern w:val="2"/>
          <w:lang w:eastAsia="zh-CN" w:bidi="hi-IN"/>
        </w:rPr>
        <w:t>geram</w:t>
      </w:r>
      <w:r>
        <w:rPr/>
        <w:t xml:space="preserve"> vínculo empregatício algum entre aplicativo e trabalhador.</w:t>
      </w:r>
    </w:p>
    <w:p>
      <w:pPr>
        <w:pStyle w:val="Normal"/>
        <w:spacing w:lineRule="auto" w:line="360"/>
        <w:ind w:left="0" w:right="0" w:firstLine="709"/>
        <w:rPr/>
      </w:pPr>
      <w:r>
        <w:rPr/>
        <w:t xml:space="preserve">O impacto cultural destes avanços também é notado por parte dos consumidores, como na crescente indústria de </w:t>
      </w:r>
      <w:r>
        <w:rPr>
          <w:i/>
          <w:iCs/>
        </w:rPr>
        <w:t>games</w:t>
      </w:r>
      <w:r>
        <w:rPr/>
        <w:t xml:space="preserve"> que foi responsável por criar e difundir as carreiras de </w:t>
      </w:r>
      <w:r>
        <w:rPr>
          <w:i/>
          <w:iCs/>
        </w:rPr>
        <w:t>Youtuber</w:t>
      </w:r>
      <w:r>
        <w:rPr/>
        <w:t xml:space="preserve"> e </w:t>
      </w:r>
      <w:r>
        <w:rPr>
          <w:i/>
          <w:iCs/>
        </w:rPr>
        <w:t>Streamer</w:t>
      </w:r>
      <w:r>
        <w:rPr/>
        <w:t xml:space="preserve"> – pessoas que criam conteúdo de jogos eletrônicos e transmite para seus seguidores por meio de plataformas como </w:t>
      </w:r>
      <w:r>
        <w:rPr>
          <w:i/>
          <w:iCs/>
        </w:rPr>
        <w:t>YouTube</w:t>
      </w:r>
      <w:r>
        <w:rPr/>
        <w:t xml:space="preserve">, </w:t>
      </w:r>
      <w:r>
        <w:rPr>
          <w:i/>
          <w:iCs/>
        </w:rPr>
        <w:t>Twitch</w:t>
      </w:r>
      <w:r>
        <w:rPr/>
        <w:t xml:space="preserve">, </w:t>
      </w:r>
      <w:r>
        <w:rPr>
          <w:i/>
          <w:iCs/>
        </w:rPr>
        <w:t>Facebook Gaming</w:t>
      </w:r>
      <w:r>
        <w:rPr/>
        <w:t xml:space="preserve"> e outros, gerando receita para as empresas e para si mesmos fazendo algo que antes era considerado apenas um </w:t>
      </w:r>
      <w:r>
        <w:rPr>
          <w:i/>
          <w:iCs/>
        </w:rPr>
        <w:t>hobby</w:t>
      </w:r>
      <w:r>
        <w:rPr/>
        <w:t>.</w:t>
      </w:r>
    </w:p>
    <w:p>
      <w:pPr>
        <w:pStyle w:val="Normal"/>
        <w:spacing w:lineRule="auto" w:line="360"/>
        <w:ind w:left="0" w:right="0" w:firstLine="709"/>
        <w:rPr/>
      </w:pPr>
      <w:r>
        <w:rPr/>
        <w:t xml:space="preserve">Porém, com todos esses avanços e inovações ocorrendo em uma escala colossal e </w:t>
      </w:r>
      <w:r>
        <w:rPr>
          <w:rFonts w:eastAsia="Noto Serif CJK SC" w:cs="Noto Sans Devanagari"/>
          <w:kern w:val="2"/>
          <w:lang w:eastAsia="zh-CN" w:bidi="hi-IN"/>
        </w:rPr>
        <w:t>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
        <w:spacing w:lineRule="auto" w:line="360"/>
        <w:rPr>
          <w:rFonts w:eastAsia="Noto Serif CJK SC" w:cs="Noto Sans Devanagari"/>
          <w:b/>
          <w:b/>
          <w:bCs/>
          <w:kern w:val="2"/>
          <w:sz w:val="28"/>
          <w:lang w:eastAsia="zh-CN" w:bidi="hi-IN"/>
        </w:rPr>
      </w:pPr>
      <w:r>
        <w:rPr>
          <w:rFonts w:eastAsia="Noto Serif CJK SC" w:cs="Noto Sans Devanagari"/>
          <w:b/>
          <w:bCs/>
          <w:kern w:val="2"/>
          <w:sz w:val="28"/>
          <w:lang w:eastAsia="zh-CN" w:bidi="hi-IN"/>
        </w:rPr>
      </w:r>
    </w:p>
    <w:p>
      <w:pPr>
        <w:pStyle w:val="Normal"/>
        <w:spacing w:lineRule="auto" w:line="360"/>
        <w:rPr>
          <w:rFonts w:eastAsia="Noto Serif CJK SC" w:cs="Noto Sans Devanagari"/>
          <w:b/>
          <w:b/>
          <w:bCs/>
          <w:kern w:val="2"/>
          <w:sz w:val="28"/>
          <w:szCs w:val="28"/>
          <w:lang w:eastAsia="zh-CN" w:bidi="hi-IN"/>
        </w:rPr>
      </w:pPr>
      <w:r>
        <w:rPr>
          <w:rFonts w:eastAsia="Noto Serif CJK SC" w:cs="Noto Sans Devanagari"/>
          <w:b/>
          <w:bCs/>
          <w:kern w:val="2"/>
          <w:sz w:val="28"/>
          <w:szCs w:val="28"/>
          <w:lang w:eastAsia="zh-CN" w:bidi="hi-IN"/>
        </w:rPr>
        <w:t>A ÉTICA E A TECNOLOGIA DA INFORMAÇÃO</w:t>
      </w:r>
    </w:p>
    <w:p>
      <w:pPr>
        <w:pStyle w:val="Normal"/>
        <w:spacing w:lineRule="auto" w:line="360"/>
        <w:ind w:left="0" w:right="0" w:firstLine="709"/>
        <w:rPr/>
      </w:pPr>
      <w:r>
        <w:rPr>
          <w:rFonts w:eastAsia="Noto Serif CJK SC" w:cs="Noto Sans Devanagari"/>
          <w:kern w:val="2"/>
          <w:lang w:eastAsia="zh-CN" w:bidi="hi-IN"/>
        </w:rPr>
        <w:t xml:space="preserve">Assim como diversas outras áreas de atuação, a área da TI conta com seu próprio Código de Ética – tendo como principal documento o </w:t>
      </w:r>
      <w:r>
        <w:rPr>
          <w:rFonts w:eastAsia="Noto Serif CJK SC" w:cs="Noto Sans Devanagari"/>
          <w:i/>
          <w:iCs/>
          <w:kern w:val="2"/>
          <w:lang w:eastAsia="zh-CN" w:bidi="hi-IN"/>
        </w:rPr>
        <w:t>“Código de Ética do Profissional de Informática”</w:t>
      </w:r>
      <w:r>
        <w:rPr>
          <w:rFonts w:eastAsia="Noto Serif CJK SC" w:cs="Noto Sans Devanagari"/>
          <w:kern w:val="2"/>
          <w:lang w:eastAsia="zh-CN" w:bidi="hi-IN"/>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
        <w:spacing w:lineRule="auto" w:line="360"/>
        <w:ind w:left="0" w:right="0" w:firstLine="709"/>
        <w:rPr/>
      </w:pPr>
      <w:r>
        <w:rPr>
          <w:rFonts w:eastAsia="Noto Serif CJK SC" w:cs="Noto Sans Devanagari"/>
          <w:kern w:val="2"/>
          <w:lang w:eastAsia="zh-CN" w:bidi="hi-IN"/>
        </w:rPr>
        <w:t xml:space="preserve">O Código de Ética do Profissional de Informática possui apenas uma página composta de doze artigos que são chamados de “Deveres do profissional”, que à primeira vista pode parecer muito, mas quando comparado, por exemplo, ao </w:t>
      </w:r>
      <w:r>
        <w:rPr>
          <w:rFonts w:eastAsia="Noto Serif CJK SC" w:cs="Noto Sans Devanagari"/>
          <w:i/>
          <w:iCs/>
          <w:kern w:val="2"/>
          <w:lang w:eastAsia="zh-CN" w:bidi="hi-IN"/>
        </w:rPr>
        <w:t xml:space="preserve">“Código de Ética do Profissional de Administração” </w:t>
      </w:r>
      <w:r>
        <w:rPr>
          <w:rFonts w:eastAsia="Noto Serif CJK SC" w:cs="Noto Sans Devanagari"/>
          <w:kern w:val="2"/>
          <w:lang w:eastAsia="zh-CN" w:bidi="hi-IN"/>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
        <w:spacing w:lineRule="auto" w:line="360"/>
        <w:rPr/>
      </w:pPr>
      <w:r>
        <w:rPr>
          <w:rFonts w:eastAsia="Noto Serif CJK SC" w:cs="Noto Sans Devanagari"/>
          <w:kern w:val="2"/>
          <w:lang w:eastAsia="zh-CN" w:bidi="hi-IN"/>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eastAsia="Noto Serif CJK SC" w:cs="Noto Sans Devanagari"/>
          <w:i/>
          <w:iCs/>
          <w:kern w:val="2"/>
          <w:lang w:eastAsia="zh-CN" w:bidi="hi-IN"/>
        </w:rPr>
        <w:t>Immanuel Kant</w:t>
      </w:r>
      <w:r>
        <w:rPr>
          <w:rFonts w:eastAsia="Noto Serif CJK SC" w:cs="Noto Sans Devanagari"/>
          <w:kern w:val="2"/>
          <w:lang w:eastAsia="zh-CN" w:bidi="hi-IN"/>
        </w:rPr>
        <w:t xml:space="preserve"> e dos “estágios do desenvolvimento moral” de </w:t>
      </w:r>
      <w:r>
        <w:rPr>
          <w:rFonts w:eastAsia="Noto Serif CJK SC" w:cs="Noto Sans Devanagari"/>
          <w:i/>
          <w:iCs/>
          <w:kern w:val="2"/>
          <w:lang w:eastAsia="zh-CN" w:bidi="hi-IN"/>
        </w:rPr>
        <w:t>Lawrence Kohlberg</w:t>
      </w:r>
      <w:r>
        <w:rPr>
          <w:rFonts w:eastAsia="Noto Serif CJK SC" w:cs="Noto Sans Devanagari"/>
          <w:kern w:val="2"/>
          <w:lang w:eastAsia="zh-CN" w:bidi="hi-IN"/>
        </w:rPr>
        <w:t xml:space="preserve">. Visto a “pobreza” do </w:t>
      </w:r>
      <w:r>
        <w:rPr>
          <w:rFonts w:eastAsia="Noto Serif CJK SC" w:cs="Noto Sans Devanagari"/>
          <w:i/>
          <w:iCs/>
          <w:kern w:val="2"/>
          <w:lang w:eastAsia="zh-CN" w:bidi="hi-IN"/>
        </w:rPr>
        <w:t>Código de Ética do Profissional de Informática</w:t>
      </w:r>
      <w:r>
        <w:rPr>
          <w:rFonts w:eastAsia="Noto Serif CJK SC" w:cs="Noto Sans Devanagari"/>
          <w:kern w:val="2"/>
          <w:lang w:eastAsia="zh-CN" w:bidi="hi-IN"/>
        </w:rPr>
        <w:t>, consequentemente podemos concluir que muito da ética dos profissionais da área fica por conta do que Figueiredo (2009) descreve como “Ética de responsabilidade”, mas o quão “responsáveis” são estes profissionais?</w:t>
      </w:r>
    </w:p>
    <w:p>
      <w:pPr>
        <w:pStyle w:val="Normal"/>
        <w:spacing w:lineRule="auto" w:line="360"/>
        <w:rPr/>
      </w:pPr>
      <w:r>
        <w:rPr>
          <w:rFonts w:eastAsia="Noto Serif CJK SC" w:cs="Noto Sans Devanagari"/>
          <w:kern w:val="2"/>
          <w:lang w:eastAsia="zh-CN" w:bidi="hi-IN"/>
        </w:rPr>
        <w:tab/>
        <w:t xml:space="preserve">Usando como exemplo o Art. 8º do Código de Ética do Profissional de Informática, que diz que o profissional deve “Honrar compromissos, contratos, termos de responsabilidade, direitos de propriedade, </w:t>
      </w:r>
      <w:r>
        <w:rPr>
          <w:rFonts w:eastAsia="Noto Serif CJK SC" w:cs="Noto Sans Devanagari"/>
          <w:i/>
          <w:iCs/>
          <w:kern w:val="2"/>
          <w:lang w:eastAsia="zh-CN" w:bidi="hi-IN"/>
        </w:rPr>
        <w:t>copyrights</w:t>
      </w:r>
      <w:r>
        <w:rPr>
          <w:rFonts w:eastAsia="Noto Serif CJK SC" w:cs="Noto Sans Devanagari"/>
          <w:kern w:val="2"/>
          <w:lang w:eastAsia="zh-CN" w:bidi="hi-IN"/>
        </w:rPr>
        <w:t xml:space="preserve"> e patentes”, já podemos evidenciar um ponto que muitos profissionais deixam de cumprir por conta um simples fator: a pirataria de </w:t>
      </w:r>
      <w:r>
        <w:rPr>
          <w:rFonts w:eastAsia="Noto Serif CJK SC" w:cs="Noto Sans Devanagari"/>
          <w:i/>
          <w:iCs/>
          <w:kern w:val="2"/>
          <w:lang w:eastAsia="zh-CN" w:bidi="hi-IN"/>
        </w:rPr>
        <w:t>software</w:t>
      </w:r>
      <w:r>
        <w:rPr>
          <w:rFonts w:eastAsia="Noto Serif CJK SC" w:cs="Noto Sans Devanagari"/>
          <w:kern w:val="2"/>
          <w:lang w:eastAsia="zh-CN" w:bidi="hi-IN"/>
        </w:rPr>
        <w:t xml:space="preserve">. </w:t>
      </w:r>
    </w:p>
    <w:p>
      <w:pPr>
        <w:pStyle w:val="Normal"/>
        <w:spacing w:lineRule="auto" w:line="360"/>
        <w:rPr/>
      </w:pPr>
      <w:r>
        <w:rPr>
          <w:rFonts w:eastAsia="Liberation Serif" w:cs="Liberation Serif"/>
          <w:color w:val="000000"/>
        </w:rPr>
        <w:t xml:space="preserve">Relatórios da empresa de segurança digital </w:t>
      </w:r>
      <w:r>
        <w:rPr>
          <w:rFonts w:eastAsia="Liberation Serif" w:cs="Liberation Serif"/>
          <w:i/>
          <w:iCs/>
          <w:color w:val="000000"/>
        </w:rPr>
        <w:t xml:space="preserve">Nagra/Kudelski Group </w:t>
      </w:r>
      <w:r>
        <w:rPr>
          <w:rFonts w:eastAsia="Liberation Serif" w:cs="Liberation Serif"/>
          <w:color w:val="000000"/>
        </w:rPr>
        <w:t xml:space="preserve">(2020) sobre a operação antipirataria de conteúdo digital no Brasil intitulada </w:t>
      </w:r>
      <w:r>
        <w:rPr>
          <w:rFonts w:eastAsia="Liberation Serif" w:cs="Liberation Serif"/>
          <w:i/>
          <w:iCs/>
          <w:color w:val="000000"/>
        </w:rPr>
        <w:t>“Operação 404”</w:t>
      </w:r>
      <w:r>
        <w:rPr>
          <w:rFonts w:eastAsia="Liberation Serif" w:cs="Liberation Serif"/>
          <w:color w:val="000000"/>
        </w:rPr>
        <w:t>, apontam que o Brasil é um dos países que mais consome pirataria em todo o planeta, neste aspecto, a pirataria de software é presente em diversos aspectos da vida e do cotidiano do brasileiro que,</w:t>
      </w:r>
      <w:r>
        <w:rPr>
          <w:rFonts w:eastAsia="Noto Serif CJK SC" w:cs="Noto Sans Devanagari"/>
          <w:color w:val="000000"/>
          <w:lang w:eastAsia="zh-CN" w:bidi="hi-IN"/>
        </w:rPr>
        <w:t xml:space="preserve"> </w:t>
      </w:r>
      <w:r>
        <w:rPr>
          <w:rFonts w:eastAsia="Noto Serif CJK SC" w:cs="Noto Sans Devanagari"/>
          <w:color w:val="000000"/>
          <w:kern w:val="2"/>
          <w:lang w:eastAsia="zh-CN" w:bidi="hi-IN"/>
        </w:rPr>
        <w:t xml:space="preserve">em muitos casos, costuma nem mesmo ter noção de que está cometendo um crime por usar seu computador com o sistema operacional </w:t>
      </w:r>
      <w:r>
        <w:rPr>
          <w:rFonts w:eastAsia="Noto Serif CJK SC" w:cs="Noto Sans Devanagari"/>
          <w:i/>
          <w:iCs/>
          <w:color w:val="000000"/>
          <w:kern w:val="2"/>
          <w:lang w:eastAsia="zh-CN" w:bidi="hi-IN"/>
        </w:rPr>
        <w:t>Windows</w:t>
      </w:r>
      <w:r>
        <w:rPr>
          <w:rFonts w:eastAsia="Noto Serif CJK SC" w:cs="Noto Sans Devanagari"/>
          <w:color w:val="000000"/>
          <w:kern w:val="2"/>
          <w:lang w:eastAsia="zh-CN" w:bidi="hi-IN"/>
        </w:rPr>
        <w:t xml:space="preserve"> e ferramentas como o pacote </w:t>
      </w:r>
      <w:r>
        <w:rPr>
          <w:rFonts w:eastAsia="Noto Serif CJK SC" w:cs="Noto Sans Devanagari"/>
          <w:i/>
          <w:iCs/>
          <w:color w:val="000000"/>
          <w:kern w:val="2"/>
          <w:lang w:eastAsia="zh-CN" w:bidi="hi-IN"/>
        </w:rPr>
        <w:t xml:space="preserve">Office </w:t>
      </w:r>
      <w:r>
        <w:rPr>
          <w:rFonts w:eastAsia="Noto Serif CJK SC" w:cs="Noto Sans Devanagari"/>
          <w:color w:val="000000"/>
          <w:kern w:val="2"/>
          <w:lang w:eastAsia="zh-CN" w:bidi="hi-IN"/>
        </w:rPr>
        <w:t xml:space="preserve">com licenças pirateadas obtidas pela internet por meio de programas conhecidos como </w:t>
      </w:r>
      <w:r>
        <w:rPr>
          <w:rFonts w:eastAsia="Noto Serif CJK SC" w:cs="Noto Sans Devanagari"/>
          <w:i/>
          <w:iCs/>
          <w:color w:val="000000"/>
          <w:kern w:val="2"/>
          <w:lang w:eastAsia="zh-CN" w:bidi="hi-IN"/>
        </w:rPr>
        <w:t>“cracks”</w:t>
      </w:r>
      <w:r>
        <w:rPr>
          <w:rFonts w:eastAsia="Noto Serif CJK SC" w:cs="Noto Sans Devanagari"/>
          <w:color w:val="000000"/>
          <w:kern w:val="2"/>
          <w:lang w:eastAsia="zh-CN" w:bidi="hi-IN"/>
        </w:rPr>
        <w:t xml:space="preserve"> ou, ainda pior, pagando para que um profissional da área de TI faça este trabalho de conseguir as licenças piratas. O que pode primeiramente resultar em perigos para a segurança do usuário e seu dispositivo, visto que estes </w:t>
      </w:r>
      <w:r>
        <w:rPr>
          <w:rFonts w:eastAsia="Noto Serif CJK SC" w:cs="Noto Sans Devanagari"/>
          <w:i/>
          <w:iCs/>
          <w:color w:val="000000"/>
          <w:kern w:val="2"/>
          <w:lang w:eastAsia="zh-CN" w:bidi="hi-IN"/>
        </w:rPr>
        <w:t>cracks</w:t>
      </w:r>
      <w:r>
        <w:rPr>
          <w:rFonts w:eastAsia="Noto Serif CJK SC" w:cs="Noto Sans Devanagari"/>
          <w:color w:val="000000"/>
          <w:kern w:val="2"/>
          <w:lang w:eastAsia="zh-CN" w:bidi="hi-IN"/>
        </w:rPr>
        <w:t xml:space="preserve"> em muitas situações exigem que a segurança do sistema seja desativada, pois estes </w:t>
      </w:r>
      <w:r>
        <w:rPr>
          <w:rFonts w:eastAsia="Noto Serif CJK SC" w:cs="Noto Sans Devanagari"/>
          <w:i/>
          <w:iCs/>
          <w:color w:val="000000"/>
          <w:kern w:val="2"/>
          <w:lang w:eastAsia="zh-CN" w:bidi="hi-IN"/>
        </w:rPr>
        <w:t>softwares</w:t>
      </w:r>
      <w:r>
        <w:rPr>
          <w:rFonts w:eastAsia="Noto Serif CJK SC" w:cs="Noto Sans Devanagari"/>
          <w:color w:val="000000"/>
          <w:kern w:val="2"/>
          <w:lang w:eastAsia="zh-CN" w:bidi="hi-IN"/>
        </w:rPr>
        <w:t xml:space="preserve"> podem ser vistos como — ou realmente ser — </w:t>
      </w:r>
      <w:r>
        <w:rPr>
          <w:rFonts w:eastAsia="Noto Serif CJK SC" w:cs="Noto Sans Devanagari"/>
          <w:i/>
          <w:iCs/>
          <w:color w:val="000000"/>
          <w:kern w:val="2"/>
          <w:lang w:eastAsia="zh-CN" w:bidi="hi-IN"/>
        </w:rPr>
        <w:t>malwares,</w:t>
      </w:r>
      <w:r>
        <w:rPr>
          <w:rFonts w:eastAsia="Noto Serif CJK SC" w:cs="Noto Sans Devanagari"/>
          <w:color w:val="000000"/>
          <w:kern w:val="2"/>
          <w:lang w:eastAsia="zh-CN" w:bidi="hi-IN"/>
        </w:rPr>
        <w:t xml:space="preserve"> </w:t>
      </w:r>
      <w:r>
        <w:rPr>
          <w:rFonts w:eastAsia="Noto Serif CJK SC" w:cs="Noto Sans Devanagari"/>
          <w:i/>
          <w:iCs/>
          <w:color w:val="000000"/>
          <w:kern w:val="2"/>
          <w:lang w:eastAsia="zh-CN" w:bidi="hi-IN"/>
        </w:rPr>
        <w:t>spywares</w:t>
      </w:r>
      <w:r>
        <w:rPr>
          <w:rFonts w:eastAsia="Noto Serif CJK SC" w:cs="Noto Sans Devanagari"/>
          <w:color w:val="000000"/>
          <w:kern w:val="2"/>
          <w:lang w:eastAsia="zh-CN" w:bidi="hi-IN"/>
        </w:rPr>
        <w:t xml:space="preserve">, </w:t>
      </w:r>
      <w:r>
        <w:rPr>
          <w:rFonts w:eastAsia="Noto Serif CJK SC" w:cs="Noto Sans Devanagari"/>
          <w:i/>
          <w:iCs/>
          <w:color w:val="000000"/>
          <w:kern w:val="2"/>
          <w:lang w:eastAsia="zh-CN" w:bidi="hi-IN"/>
        </w:rPr>
        <w:t>ransomwares</w:t>
      </w:r>
      <w:r>
        <w:rPr>
          <w:rFonts w:eastAsia="Noto Serif CJK SC" w:cs="Noto Sans Devanagari"/>
          <w:color w:val="000000"/>
          <w:kern w:val="2"/>
          <w:lang w:eastAsia="zh-CN" w:bidi="hi-IN"/>
        </w:rPr>
        <w:t xml:space="preserve">; etc. E, posteriormente pode surgir a disputa legal que gera prejuízos enormes para os usuários que estão utilizando versões pirateadas destes softwares; como o caso da Universidade Cândido Mendes, que em 2017 foi obrigada a leiloar seu prédio (avaliado em R$ 42 milhões) para a </w:t>
      </w:r>
      <w:r>
        <w:rPr>
          <w:rFonts w:eastAsia="Noto Serif CJK SC" w:cs="Noto Sans Devanagari"/>
          <w:i/>
          <w:iCs/>
          <w:color w:val="000000"/>
          <w:kern w:val="2"/>
          <w:lang w:eastAsia="zh-CN" w:bidi="hi-IN"/>
        </w:rPr>
        <w:t>Microsoft</w:t>
      </w:r>
      <w:r>
        <w:rPr>
          <w:rFonts w:eastAsia="Noto Serif CJK SC" w:cs="Noto Sans Devanagari"/>
          <w:color w:val="000000"/>
          <w:kern w:val="2"/>
          <w:lang w:eastAsia="zh-CN" w:bidi="hi-IN"/>
        </w:rPr>
        <w:t xml:space="preserve"> para arcar com as dívidas relacionadas a pirataria do sistema operacional </w:t>
      </w:r>
      <w:r>
        <w:rPr>
          <w:rFonts w:eastAsia="Noto Serif CJK SC" w:cs="Noto Sans Devanagari"/>
          <w:i/>
          <w:iCs/>
          <w:color w:val="000000"/>
          <w:kern w:val="2"/>
          <w:lang w:eastAsia="zh-CN" w:bidi="hi-IN"/>
        </w:rPr>
        <w:t>Windows</w:t>
      </w:r>
      <w:r>
        <w:rPr>
          <w:rFonts w:eastAsia="Noto Serif CJK SC" w:cs="Noto Sans Devanagari"/>
          <w:color w:val="000000"/>
          <w:kern w:val="2"/>
          <w:lang w:eastAsia="zh-CN" w:bidi="hi-IN"/>
        </w:rPr>
        <w:t>.</w:t>
      </w:r>
    </w:p>
    <w:p>
      <w:pPr>
        <w:pStyle w:val="Normal"/>
        <w:spacing w:lineRule="auto" w:line="360"/>
        <w:ind w:left="0" w:right="0" w:firstLine="709"/>
        <w:rPr>
          <w:rFonts w:eastAsia="Noto Serif CJK SC" w:cs="Noto Sans Devanagari"/>
          <w:b/>
          <w:b/>
          <w:bCs/>
          <w:color w:val="000000"/>
          <w:kern w:val="2"/>
          <w:sz w:val="28"/>
          <w:lang w:eastAsia="zh-CN" w:bidi="hi-IN"/>
        </w:rPr>
      </w:pPr>
      <w:r>
        <w:rPr>
          <w:rFonts w:eastAsia="Noto Serif CJK SC" w:cs="Noto Sans Devanagari"/>
          <w:b/>
          <w:bCs/>
          <w:color w:val="000000"/>
          <w:kern w:val="2"/>
          <w:sz w:val="28"/>
          <w:lang w:eastAsia="zh-CN" w:bidi="hi-IN"/>
        </w:rPr>
      </w:r>
    </w:p>
    <w:p>
      <w:pPr>
        <w:pStyle w:val="Normal"/>
        <w:spacing w:lineRule="auto" w:line="360"/>
        <w:rPr>
          <w:b/>
          <w:b/>
          <w:bCs/>
          <w:sz w:val="28"/>
        </w:rPr>
      </w:pPr>
      <w:r>
        <w:rPr>
          <w:b/>
          <w:bCs/>
          <w:sz w:val="28"/>
        </w:rPr>
        <w:t>O MAIOR DOS PREJUÍZOS</w:t>
      </w:r>
    </w:p>
    <w:p>
      <w:pPr>
        <w:pStyle w:val="Normal"/>
        <w:spacing w:lineRule="auto" w:line="360"/>
        <w:ind w:left="0" w:right="0" w:firstLine="709"/>
        <w:rPr/>
      </w:pPr>
      <w:r>
        <w:rPr/>
        <w:t xml:space="preserve">Como visto anteriormente, o descumprimento do código de ética é algo que ocorre de forma quase que automática </w:t>
      </w:r>
      <w:r>
        <w:rPr>
          <w:rFonts w:eastAsia="Noto Serif CJK SC" w:cs="Noto Sans Devanagari"/>
          <w:kern w:val="2"/>
          <w:lang w:eastAsia="zh-CN" w:bidi="hi-IN"/>
        </w:rPr>
        <w:t>seja</w:t>
      </w:r>
      <w:r>
        <w:rPr/>
        <w:t xml:space="preserve"> por profissionais </w:t>
      </w:r>
      <w:r>
        <w:rPr>
          <w:rFonts w:eastAsia="Noto Serif CJK SC" w:cs="Noto Sans Devanagari"/>
          <w:kern w:val="2"/>
          <w:lang w:eastAsia="zh-CN" w:bidi="hi-IN"/>
        </w:rPr>
        <w:t>ou</w:t>
      </w:r>
      <w:r>
        <w:rPr/>
        <w:t xml:space="preserve"> entusiastas da área, mas além do prejuízo financeiro, existe um prejuízo ainda maior em decorrência da falta de ética: o prejuízo social.</w:t>
      </w:r>
    </w:p>
    <w:p>
      <w:pPr>
        <w:pStyle w:val="Normal"/>
        <w:spacing w:lineRule="auto" w:line="360"/>
        <w:ind w:left="0" w:right="0" w:firstLine="709"/>
        <w:rPr/>
      </w:pPr>
      <w:r>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
        <w:spacing w:lineRule="auto" w:line="360"/>
        <w:ind w:left="0" w:right="0" w:firstLine="709"/>
        <w:rPr/>
      </w:pPr>
      <w:r>
        <w:rPr/>
        <w:t xml:space="preserve">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(os famosos </w:t>
      </w:r>
      <w:r>
        <w:rPr>
          <w:i/>
          <w:iCs/>
        </w:rPr>
        <w:t>videogames</w:t>
      </w:r>
      <w:r>
        <w:rPr/>
        <w:t xml:space="preserve">) e neste primeiro contato já existe a distinção grotesca de “jogos para meninos” e “jogos para meninas” onde </w:t>
      </w:r>
      <w:r>
        <w:rPr>
          <w:rFonts w:eastAsia="Noto Serif CJK SC" w:cs="Noto Sans Devanagari"/>
          <w:kern w:val="2"/>
          <w:lang w:eastAsia="zh-CN" w:bidi="hi-IN"/>
        </w:rPr>
        <w:t>os</w:t>
      </w:r>
      <w:r>
        <w:rPr/>
        <w:t xml:space="preserve"> jogos </w:t>
      </w:r>
      <w:r>
        <w:rPr>
          <w:rFonts w:eastAsia="Noto Serif CJK SC" w:cs="Noto Sans Devanagari"/>
          <w:kern w:val="2"/>
          <w:lang w:eastAsia="zh-CN" w:bidi="hi-IN"/>
        </w:rPr>
        <w:t xml:space="preserve">pensados em </w:t>
      </w:r>
      <w:r>
        <w:rPr/>
        <w:t xml:space="preserve">atender </w:t>
      </w:r>
      <w:r>
        <w:rPr>
          <w:rFonts w:eastAsia="Noto Serif CJK SC" w:cs="Noto Sans Devanagari"/>
          <w:kern w:val="2"/>
          <w:lang w:eastAsia="zh-CN" w:bidi="hi-IN"/>
        </w:rPr>
        <w:t>o público masculino</w:t>
      </w:r>
      <w:r>
        <w:rPr/>
        <w:t xml:space="preserve"> tendem a apresentar um cenário mais competitivo e, em alguns casos, apresentar alguns níveis de violência, enquanto que os jogos que buscam atender um público feminino caem nos estereótipos de “realizar tarefas domésticas”, “gestão familiar” e etc.; fazendo com que muitas dessas meninas eventualmente se encontrem no meio termo dos jogos que não possuem um público estritamente </w:t>
      </w:r>
      <w:r>
        <w:rPr>
          <w:rFonts w:eastAsia="Noto Serif CJK SC" w:cs="Noto Sans Devanagari"/>
          <w:kern w:val="2"/>
          <w:lang w:eastAsia="zh-CN" w:bidi="hi-IN"/>
        </w:rPr>
        <w:t>definido – mas que de certa forma são desenvolvidos pensando no público masculino como maior consumidor – c</w:t>
      </w:r>
      <w:r>
        <w:rPr/>
        <w:t>omo jogos RPG (</w:t>
      </w:r>
      <w:r>
        <w:rPr>
          <w:i/>
          <w:iCs/>
        </w:rPr>
        <w:t>Role Playing Game</w:t>
      </w:r>
      <w:r>
        <w:rPr/>
        <w:t xml:space="preserve">), </w:t>
      </w:r>
      <w:r>
        <w:rPr>
          <w:i/>
          <w:iCs/>
        </w:rPr>
        <w:t>Visual Novels</w:t>
      </w:r>
      <w:r>
        <w:rPr/>
        <w:t xml:space="preserve"> (jogos que funcionam como um livro interativo) ou jogos considerados “casuais”.</w:t>
      </w:r>
    </w:p>
    <w:p>
      <w:pPr>
        <w:pStyle w:val="Normal"/>
        <w:spacing w:lineRule="auto" w:line="360"/>
        <w:ind w:left="0" w:right="0" w:firstLine="709"/>
        <w:rPr/>
      </w:pPr>
      <w:r>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i/>
          <w:iCs/>
        </w:rPr>
        <w:t>nerd/geek</w:t>
      </w:r>
      <w:r>
        <w:rPr/>
        <w:t xml:space="preserve"> onde não só mulheres, mas também muitos grupos minoritários – como negros ou membros da comunidade LGBT – sofrem constantes assédios durante partidas de jogos </w:t>
      </w:r>
      <w:r>
        <w:rPr>
          <w:i/>
          <w:iCs/>
        </w:rPr>
        <w:t>online</w:t>
      </w:r>
      <w:r>
        <w:rPr/>
        <w:t>, levando os mesmos a adotar uma postura de quase apatia durante esses momentos, evitando de se comunicar por voz e usar fotos pessoais para tentar sustentar a falsa imagem de ser “apenas mais um garoto jogando videogame”.</w:t>
      </w:r>
      <w:r>
        <w:br w:type="page"/>
      </w:r>
    </w:p>
    <w:p>
      <w:pPr>
        <w:pStyle w:val="Normal"/>
        <w:spacing w:lineRule="auto" w:line="360"/>
        <w:jc w:val="left"/>
        <w:rPr>
          <w:rFonts w:eastAsia="Liberation Serif" w:cs="Liberation Serif"/>
          <w:b/>
          <w:b/>
          <w:bCs/>
          <w:color w:val="000000"/>
          <w:sz w:val="28"/>
          <w:szCs w:val="28"/>
        </w:rPr>
      </w:pPr>
      <w:r>
        <w:rPr>
          <w:rFonts w:eastAsia="Liberation Serif" w:cs="Liberation Serif"/>
          <w:b/>
          <w:bCs/>
          <w:color w:val="000000"/>
          <w:sz w:val="28"/>
          <w:szCs w:val="28"/>
        </w:rPr>
      </w:r>
    </w:p>
    <w:p>
      <w:pPr>
        <w:pStyle w:val="Normal"/>
        <w:spacing w:lineRule="auto" w:line="360"/>
        <w:jc w:val="left"/>
        <w:rPr>
          <w:rFonts w:eastAsia="Liberation Serif" w:cs="Liberation Serif"/>
          <w:b/>
          <w:b/>
          <w:bCs/>
          <w:color w:val="000000"/>
          <w:sz w:val="28"/>
          <w:szCs w:val="28"/>
        </w:rPr>
      </w:pPr>
      <w:r>
        <w:rPr>
          <w:rFonts w:eastAsia="Liberation Serif" w:cs="Liberation Serif"/>
          <w:b/>
          <w:bCs/>
          <w:color w:val="000000"/>
          <w:sz w:val="28"/>
          <w:szCs w:val="28"/>
        </w:rPr>
        <w:t>METODOLOGIA</w:t>
      </w:r>
    </w:p>
    <w:p>
      <w:pPr>
        <w:pStyle w:val="Normal"/>
        <w:spacing w:lineRule="auto" w:line="360"/>
        <w:rPr>
          <w:rFonts w:eastAsia="Liberation Serif" w:cs="Liberation Serif"/>
          <w:color w:val="000000"/>
        </w:rPr>
      </w:pPr>
      <w:r>
        <w:rPr>
          <w:rFonts w:eastAsia="Liberation Serif" w:cs="Liberation Serif"/>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
        <w:spacing w:lineRule="auto" w:line="360"/>
        <w:rPr>
          <w:rFonts w:eastAsia="Liberation Serif" w:cs="Liberation Serif"/>
          <w:color w:val="000000"/>
        </w:rPr>
      </w:pPr>
      <w:r>
        <w:rPr>
          <w:rFonts w:eastAsia="Liberation Serif" w:cs="Liberation Serif"/>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
        <w:spacing w:lineRule="auto" w:line="360"/>
        <w:rPr>
          <w:rFonts w:eastAsia="Liberation Serif" w:cs="Liberation Serif"/>
          <w:color w:val="000000"/>
        </w:rPr>
      </w:pPr>
      <w:r>
        <w:rPr>
          <w:rFonts w:eastAsia="Liberation Serif" w:cs="Liberation Serif"/>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
        <w:spacing w:lineRule="auto" w:line="360"/>
        <w:rPr>
          <w:rFonts w:eastAsia="Liberation Serif" w:cs="Liberation Serif"/>
          <w:color w:val="000000"/>
        </w:rPr>
      </w:pPr>
      <w:r>
        <w:rPr>
          <w:rFonts w:eastAsia="Liberation Serif" w:cs="Liberation Serif"/>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PadroABNT"/>
        <w:spacing w:lineRule="auto" w:line="240" w:before="0" w:after="0"/>
        <w:ind w:left="0" w:right="0" w:hanging="0"/>
        <w:rPr/>
      </w:pPr>
      <w:r>
        <w:rPr/>
        <w:tab/>
      </w:r>
      <w:r>
        <w:br w:type="page"/>
      </w:r>
    </w:p>
    <w:p>
      <w:pPr>
        <w:pStyle w:val="PadroABNT"/>
        <w:spacing w:lineRule="auto" w:line="240" w:before="0" w:after="0"/>
        <w:ind w:left="0" w:right="0" w:hanging="0"/>
        <w:rPr/>
      </w:pPr>
      <w:r>
        <w:rPr/>
      </w:r>
    </w:p>
    <w:p>
      <w:pPr>
        <w:pStyle w:val="PadroABNT"/>
        <w:spacing w:lineRule="auto" w:line="240" w:before="0" w:after="0"/>
        <w:ind w:left="0" w:right="0" w:hanging="0"/>
        <w:rPr/>
      </w:pPr>
      <w:r>
        <w:rPr/>
      </w:r>
    </w:p>
    <w:p>
      <w:pPr>
        <w:pStyle w:val="PadroABNT"/>
        <w:spacing w:before="0" w:after="0"/>
        <w:ind w:left="0" w:right="0" w:hanging="0"/>
        <w:rPr>
          <w:b/>
          <w:b/>
          <w:bCs/>
          <w:sz w:val="28"/>
          <w:szCs w:val="28"/>
        </w:rPr>
      </w:pPr>
      <w:r>
        <w:rPr>
          <w:b/>
          <w:bCs/>
          <w:sz w:val="28"/>
          <w:szCs w:val="28"/>
        </w:rPr>
        <w:t>ANÁLISE E RESULTADOS</w:t>
      </w:r>
    </w:p>
    <w:p>
      <w:pPr>
        <w:pStyle w:val="PadroABNT"/>
        <w:spacing w:before="0" w:after="0"/>
        <w:ind w:left="0" w:right="0" w:firstLine="709"/>
        <w:rPr/>
      </w:pPr>
      <w:r>
        <w:rPr>
          <w:b/>
          <w:sz w:val="28"/>
        </w:rPr>
        <w:tab/>
      </w:r>
      <w:r>
        <w:rPr/>
        <w:t xml:space="preserve">Por meio de </w:t>
      </w:r>
      <w:commentRangeStart w:id="0"/>
      <w:r>
        <w:rPr/>
        <w:t>entrevistas</w:t>
      </w:r>
      <w:r>
        <w:rPr/>
      </w:r>
      <w:commentRangeEnd w:id="0"/>
      <w:r>
        <w:commentReference w:id="0"/>
      </w:r>
      <w:r>
        <w:rPr/>
        <w:t xml:space="preserve"> com profissionais da área – todas mulheres com idades que vão dos 20 aos 45 anos – foi possível observar que as mesmas, em algum momento de sua carreira seja ela acadêmica ou profissional, foram vítimas ou presenciaram situações de assédio moral. </w:t>
      </w:r>
      <w:r>
        <w:rPr>
          <w:shd w:fill="FFFF00" w:val="clear"/>
        </w:rPr>
        <w:t>Vejamos com mais detalhes os acontecimentos relatados pelas entrevistadas e suas opiniões sobre as relações interpessoais neste setor.</w:t>
      </w:r>
    </w:p>
    <w:p>
      <w:pPr>
        <w:pStyle w:val="PadroABNT"/>
        <w:spacing w:before="0" w:after="0"/>
        <w:ind w:left="0" w:right="0" w:firstLine="709"/>
        <w:rPr/>
      </w:pPr>
      <w:r>
        <w:rPr/>
      </w:r>
    </w:p>
    <w:p>
      <w:pPr>
        <w:pStyle w:val="PadroABNT"/>
        <w:spacing w:before="0" w:after="0"/>
        <w:ind w:left="0" w:right="0" w:firstLine="709"/>
        <w:rPr>
          <w:b/>
          <w:b/>
        </w:rPr>
      </w:pPr>
      <w:r>
        <w:rPr>
          <w:b/>
        </w:rPr>
        <w:t>CASO I – ANALISTA DE SUPORTE A SISTEMAS</w:t>
      </w:r>
    </w:p>
    <w:p>
      <w:pPr>
        <w:pStyle w:val="PadroABNT"/>
        <w:spacing w:before="0" w:after="0"/>
        <w:ind w:left="0" w:right="0" w:firstLine="709"/>
        <w:rPr>
          <w:bCs w:val="false"/>
        </w:rPr>
      </w:pPr>
      <w:r>
        <w:rPr>
          <w:bCs w:val="false"/>
        </w:rPr>
        <w:tab/>
        <w:t>O primeiro caso é o da Sra. A, 45 anos, graduada em Redes de Computadores e Analista de Suporte a Sistemas para uma operadora de planos de saúde há mais de 14 anos.</w:t>
      </w:r>
    </w:p>
    <w:p>
      <w:pPr>
        <w:pStyle w:val="PadroABNT"/>
        <w:spacing w:before="0" w:after="0"/>
        <w:ind w:left="0" w:right="0" w:firstLine="709"/>
        <w:rPr>
          <w:bCs w:val="false"/>
        </w:rPr>
      </w:pPr>
      <w:r>
        <w:rPr>
          <w:bCs w:val="false"/>
        </w:rPr>
        <w:tab/>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PadroABNT"/>
        <w:spacing w:before="0" w:after="0"/>
        <w:ind w:left="0" w:right="0" w:firstLine="709"/>
        <w:rPr/>
      </w:pPr>
      <w:r>
        <w:rPr>
          <w:bCs w:val="false"/>
        </w:rPr>
        <w:tab/>
        <w:t xml:space="preserve">O caso de machismo e assédio moral mais marcante de sua carreira se deu por conta de um dos clientes da empresa que, ao telefonar pedindo auxílio para utilizar o sistema, recusou ouvir ao auxílio que estava sendo passado pela Sra. A e deixou claro: </w:t>
      </w:r>
      <w:r>
        <w:rPr>
          <w:bCs w:val="false"/>
          <w:i/>
          <w:iCs/>
        </w:rPr>
        <w:t>“Quero falar com um homem.”</w:t>
      </w:r>
      <w:r>
        <w:rPr>
          <w:bCs w:val="false"/>
        </w:rPr>
        <w:t>. Após esta declaração, a Sra. A encaminhou o ocorrido para a gerência que retornou à ligação para o cliente e o informou que a Sra. A era a profissional mais qualificada da equipe para atender aquele chamado, que ele deveria se desculpar e aceitar o suporte oferecido pela mesma. A Sra. A relatou, também, que ficou muito feliz com a postura adotada pela empresa para resolver o ocorrido.</w:t>
      </w:r>
    </w:p>
    <w:p>
      <w:pPr>
        <w:pStyle w:val="PadroABNT"/>
        <w:spacing w:before="0" w:after="0"/>
        <w:ind w:left="0" w:right="0" w:firstLine="709"/>
        <w:rPr/>
      </w:pPr>
      <w:r>
        <w:rPr>
          <w:bCs w:val="false"/>
        </w:rPr>
        <w:tab/>
        <w:t xml:space="preserve">Quando perguntada sobre sua opinião do porquê de episódios como estes serem, de certa forma, comuns na área e suas perspectivas do que pode ser feito para mitigá-los, a Sra. A respondeu que </w:t>
      </w:r>
      <w:r>
        <w:rPr>
          <w:bCs w:val="false"/>
          <w:i/>
          <w:iCs/>
        </w:rPr>
        <w:t xml:space="preserve">“Existe essa construção de que a área (da Tecnologia da Informação) é um ambiente exclusivamente masculino e que a mulher não possuí competência pra estar presente nele” </w:t>
      </w:r>
      <w:r>
        <w:rPr>
          <w:bCs w:val="false"/>
        </w:rPr>
        <w:t>e,</w:t>
      </w:r>
      <w:r>
        <w:rPr>
          <w:bCs w:val="false"/>
          <w:i/>
          <w:iCs/>
        </w:rPr>
        <w:t xml:space="preserve"> </w:t>
      </w:r>
      <w:r>
        <w:rPr>
          <w:bCs w:val="false"/>
        </w:rPr>
        <w:t>por isso, seria importante “desmistificar” essa questão, mostrando que todos podem trabalhar e mostrar serviço, independente de gênero, etnia ou sexualidade.</w:t>
      </w:r>
    </w:p>
    <w:p>
      <w:pPr>
        <w:pStyle w:val="PadroABNT"/>
        <w:spacing w:before="0" w:after="0"/>
        <w:ind w:left="0" w:right="0" w:firstLine="709"/>
        <w:rPr/>
      </w:pPr>
      <w:r>
        <w:rPr/>
      </w:r>
    </w:p>
    <w:p>
      <w:pPr>
        <w:pStyle w:val="PadroABNT"/>
        <w:spacing w:before="0" w:after="0"/>
        <w:ind w:left="0" w:right="0" w:firstLine="709"/>
        <w:rPr>
          <w:b/>
          <w:b/>
        </w:rPr>
      </w:pPr>
      <w:r>
        <w:rPr>
          <w:b/>
        </w:rPr>
        <w:t>CASO II – AUXILIAR TÉCNICA DE INFORMÁTICA</w:t>
      </w:r>
    </w:p>
    <w:p>
      <w:pPr>
        <w:pStyle w:val="PadroABNT"/>
        <w:spacing w:before="0" w:after="0"/>
        <w:ind w:left="0" w:right="0" w:firstLine="709"/>
        <w:rPr>
          <w:bCs w:val="false"/>
        </w:rPr>
      </w:pPr>
      <w:r>
        <w:rPr>
          <w:bCs w:val="false"/>
        </w:rPr>
        <w:tab/>
        <w:t>O segundo caso é o da Srta. L,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PadroABNT"/>
        <w:spacing w:before="0" w:after="0"/>
        <w:ind w:left="0" w:right="0" w:firstLine="709"/>
        <w:rPr/>
      </w:pPr>
      <w:r>
        <w:rPr>
          <w:bCs w:val="false"/>
        </w:rPr>
        <w:tab/>
        <w:t xml:space="preserve">Diferente do caso anterior, a Srta. L presenciou situações de assédio durante sua formação acadêmica, segundo a mesma, durante todo o curso técnico era comum ver o </w:t>
      </w:r>
      <w:r>
        <w:rPr>
          <w:bCs w:val="false"/>
          <w:i/>
          <w:iCs/>
        </w:rPr>
        <w:t>“grupo dos meninos”</w:t>
      </w:r>
      <w:r>
        <w:rPr>
          <w:bCs w:val="false"/>
        </w:rPr>
        <w:t xml:space="preserve"> (assim definido por ela) fazendo piadas e brincadeiras direcionadas as meninas da turma – chegando ao ponto de uma dessas alunas desistir do curso por não suportar mais ser alvo de piadas do tipo; quando perguntada o porquê da mesma não ter sido uma dessas vítimas, a resposta foi: </w:t>
      </w:r>
      <w:r>
        <w:rPr>
          <w:bCs w:val="false"/>
          <w:i/>
          <w:iCs/>
        </w:rPr>
        <w:t xml:space="preserve">“É uma questão que depende muito das pessoas que te acolhem e que são seus amigos, no meu caso eu sei que fui acolhida pelas pessoas certas </w:t>
      </w:r>
      <w:r>
        <w:rPr>
          <w:bCs w:val="false"/>
          <w:color w:val="000000"/>
        </w:rPr>
        <w:t>[…]</w:t>
      </w:r>
      <w:r>
        <w:rPr>
          <w:bCs w:val="false"/>
        </w:rPr>
        <w:t xml:space="preserve">, </w:t>
      </w:r>
      <w:r>
        <w:rPr>
          <w:bCs w:val="false"/>
          <w:i/>
          <w:iCs/>
        </w:rPr>
        <w:t>mas com as outras meninas da turma não foi bem o caso.”.</w:t>
      </w:r>
    </w:p>
    <w:p>
      <w:pPr>
        <w:pStyle w:val="PadroABNT"/>
        <w:spacing w:before="0" w:after="0"/>
        <w:ind w:left="0" w:right="0" w:firstLine="709"/>
        <w:rPr/>
      </w:pPr>
      <w:r>
        <w:rPr>
          <w:bCs w:val="false"/>
          <w:i/>
          <w:iCs/>
        </w:rPr>
        <w:tab/>
      </w:r>
      <w:r>
        <w:rPr>
          <w:bCs w:val="false"/>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PadroABNT"/>
        <w:spacing w:before="0" w:after="0"/>
        <w:ind w:left="0" w:right="0" w:firstLine="709"/>
        <w:rPr/>
      </w:pPr>
      <w:r>
        <w:rPr>
          <w:bCs w:val="false"/>
        </w:rPr>
        <w:tab/>
        <w:t xml:space="preserve">Segundo a Srta. L, durante seus primeiros meses na prestadora de serviços, era quase certo que fosse barrada nos locais em que se dirigia para prestar manutenção aos equipamentos e máquinas presentes no local, de acordo com a Srta. L: </w:t>
      </w:r>
      <w:r>
        <w:rPr>
          <w:bCs w:val="false"/>
          <w:i/>
          <w:iCs/>
        </w:rPr>
        <w:t>“No começo eu tinha que ir acompanhada de um dos meninos, porque se fosse sozinha iriam me barrar na porta e me perguntar ‘o que você está fazendo aqui?’, aí quando eu dizia que era a auxiliar que veio fazer a manutenção eles ligavam pro escritório e só depois que confirmavam quem eu era é que eu podia entrar”</w:t>
      </w:r>
      <w:r>
        <w:rPr>
          <w:bCs w:val="false"/>
        </w:rPr>
        <w:t xml:space="preserve">. Assim como no caso anterior, foi perguntado a Srta. L suas opiniões a respeito do porquê isso ocorre e suas propostas de intervenção, a resposta foi: </w:t>
      </w:r>
      <w:r>
        <w:rPr>
          <w:bCs w:val="false"/>
          <w:i/>
          <w:iCs/>
        </w:rPr>
        <w:t>“Muito provavelmente pela falta de conhecimento das pessoas, que acham que só existem homens que trabalham com isso […], mas, além da conscientização, eu não sei o que poderia ser feito pra mudar o jeito que as pessoas enxergam essas situações.”</w:t>
      </w:r>
    </w:p>
    <w:p>
      <w:pPr>
        <w:pStyle w:val="PadroABNT"/>
        <w:spacing w:before="0" w:after="0"/>
        <w:ind w:left="0" w:right="0" w:firstLine="709"/>
        <w:rPr>
          <w:i/>
          <w:i/>
          <w:iCs/>
        </w:rPr>
      </w:pPr>
      <w:r>
        <w:rPr>
          <w:i/>
          <w:iCs/>
        </w:rPr>
      </w:r>
    </w:p>
    <w:p>
      <w:pPr>
        <w:pStyle w:val="PadroABNT"/>
        <w:spacing w:before="0" w:after="0"/>
        <w:ind w:left="0" w:right="0" w:firstLine="709"/>
        <w:rPr>
          <w:b/>
          <w:b/>
        </w:rPr>
      </w:pPr>
      <w:r>
        <w:rPr>
          <w:b/>
        </w:rPr>
        <w:t>CASO III – JOGADORA PROFISSIONAL E STREAMER</w:t>
      </w:r>
    </w:p>
    <w:p>
      <w:pPr>
        <w:pStyle w:val="PadroABNT"/>
        <w:spacing w:before="0" w:after="0"/>
        <w:ind w:left="0" w:right="0" w:firstLine="709"/>
        <w:rPr>
          <w:bCs w:val="false"/>
        </w:rPr>
      </w:pPr>
      <w:r>
        <w:rPr>
          <w:bCs w:val="false"/>
        </w:rPr>
      </w:r>
    </w:p>
    <w:p>
      <w:pPr>
        <w:pStyle w:val="PadroABNT"/>
        <w:spacing w:before="0" w:after="0"/>
        <w:ind w:left="0" w:right="0" w:firstLine="709"/>
        <w:rPr>
          <w:bCs w:val="false"/>
        </w:rPr>
      </w:pPr>
      <w:r>
        <w:rPr>
          <w:bCs w:val="false"/>
        </w:rPr>
      </w:r>
    </w:p>
    <w:p>
      <w:pPr>
        <w:pStyle w:val="PadroABNT"/>
        <w:spacing w:before="0" w:after="0"/>
        <w:ind w:left="0" w:right="0" w:firstLine="709"/>
        <w:rPr>
          <w:bCs w:val="false"/>
        </w:rPr>
      </w:pPr>
      <w:r>
        <w:rPr>
          <w:bCs w:val="false"/>
        </w:rPr>
        <w:tab/>
      </w:r>
    </w:p>
    <w:p>
      <w:pPr>
        <w:pStyle w:val="PadroABNT"/>
        <w:spacing w:before="0" w:after="0"/>
        <w:ind w:left="0" w:right="0" w:firstLine="709"/>
        <w:rPr/>
      </w:pPr>
      <w:r>
        <w:rPr>
          <w:bCs w:val="false"/>
        </w:rPr>
        <w:tab/>
        <w:t xml:space="preserve">Saindo um pouco do âmbito corporativo tradicional, temos o caso da Srta. S, </w:t>
      </w:r>
      <w:r>
        <w:rPr>
          <w:bCs w:val="false"/>
          <w:color w:val="000000"/>
        </w:rPr>
        <w:t>24 anos</w:t>
      </w:r>
      <w:r>
        <w:rPr>
          <w:bCs w:val="false"/>
        </w:rPr>
        <w:t>, técnica em Administração (também pelo Centro Paula Souza), tecnóloga em Comércio Exterior e graduanda de Gestão Empresarial (ambos da Fatec Zona Leste) e, atualmente,</w:t>
      </w:r>
      <w:r>
        <w:rPr>
          <w:bCs w:val="false"/>
          <w:i/>
          <w:iCs/>
        </w:rPr>
        <w:t xml:space="preserve"> streamer </w:t>
      </w:r>
      <w:r>
        <w:rPr>
          <w:bCs w:val="false"/>
        </w:rPr>
        <w:t>e</w:t>
      </w:r>
      <w:r>
        <w:rPr>
          <w:bCs w:val="false"/>
          <w:i/>
          <w:iCs/>
        </w:rPr>
        <w:t xml:space="preserve"> </w:t>
      </w:r>
      <w:r>
        <w:rPr>
          <w:bCs w:val="false"/>
        </w:rPr>
        <w:t xml:space="preserve">jogadora profissional de </w:t>
      </w:r>
      <w:r>
        <w:rPr>
          <w:bCs w:val="false"/>
          <w:i/>
          <w:iCs/>
          <w:shd w:fill="FFFF00" w:val="clear"/>
        </w:rPr>
        <w:t>jogos eletrônicos de futebol?</w:t>
      </w:r>
      <w:r>
        <w:rPr>
          <w:bCs w:val="false"/>
          <w:i/>
          <w:iCs/>
        </w:rPr>
        <w:t xml:space="preserve"> </w:t>
      </w:r>
      <w:r>
        <w:rPr>
          <w:bCs w:val="false"/>
        </w:rPr>
        <w:t xml:space="preserve">pela equipe </w:t>
      </w:r>
      <w:r>
        <w:rPr>
          <w:bCs w:val="false"/>
          <w:i/>
          <w:iCs/>
        </w:rPr>
        <w:t>Astralis</w:t>
      </w:r>
      <w:r>
        <w:rPr>
          <w:bCs w:val="false"/>
        </w:rPr>
        <w:t>.</w:t>
      </w:r>
    </w:p>
    <w:p>
      <w:pPr>
        <w:pStyle w:val="PadroABNT"/>
        <w:spacing w:before="0" w:after="0"/>
        <w:ind w:left="0" w:right="0" w:firstLine="709"/>
        <w:rPr/>
      </w:pPr>
      <w:r>
        <w:rPr>
          <w:bCs w:val="false"/>
        </w:rPr>
        <w:tab/>
        <w:t xml:space="preserve">Embora tenha uma trajetória um tanto diferente das mencionadas anteriormente, a Srta. S relata que o machismo e o assédio marcaram presença desde sempre durante sua vida e carreira: </w:t>
      </w:r>
      <w:r>
        <w:rPr>
          <w:bCs w:val="false"/>
          <w:i/>
          <w:iCs/>
        </w:rPr>
        <w:t>“O futebol por si só já é um ambiente bem machista e desde cedo a gente ouve que ‘futebol não é coisa pra menina’ e o videogame também sempre teve esse apelo maior para os meninos, […] mas eu nunca liguei muito pra isso, sempre torci para o Corinthians junto da minha mãe e por conta do meu irmão eu tive um contato muito grande com o videogame”</w:t>
      </w:r>
      <w:r>
        <w:rPr>
          <w:bCs w:val="false"/>
        </w:rPr>
        <w:t>.</w:t>
      </w:r>
    </w:p>
    <w:p>
      <w:pPr>
        <w:pStyle w:val="PadroABNT"/>
        <w:spacing w:before="0" w:after="0"/>
        <w:ind w:left="0" w:right="0" w:firstLine="709"/>
        <w:rPr/>
      </w:pPr>
      <w:r>
        <w:rPr>
          <w:bCs w:val="false"/>
        </w:rPr>
        <w:tab/>
        <w:t xml:space="preserve">A respeito da postura de outros jogadores durante as partidas </w:t>
      </w:r>
      <w:r>
        <w:rPr>
          <w:bCs w:val="false"/>
          <w:i/>
          <w:iCs/>
        </w:rPr>
        <w:t>online</w:t>
      </w:r>
      <w:r>
        <w:rPr>
          <w:bCs w:val="false"/>
        </w:rPr>
        <w:t>, Srta. S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PadroABNT"/>
        <w:spacing w:before="0" w:after="0"/>
        <w:ind w:left="0" w:right="0" w:firstLine="709"/>
        <w:rPr/>
      </w:pPr>
      <w:r>
        <w:rPr>
          <w:bCs w:val="false"/>
        </w:rPr>
        <w:tab/>
      </w:r>
      <w:r>
        <w:rPr/>
        <w:t xml:space="preserve">Sobre sua carreira no </w:t>
      </w:r>
      <w:r>
        <w:rPr>
          <w:i/>
          <w:iCs/>
        </w:rPr>
        <w:t>streaming</w:t>
      </w:r>
      <w:r>
        <w:rPr/>
        <w:t xml:space="preserve">, Srta. S conta que já passou por duas plataformas, inicialmente fazendo suas transmissões na plataforma </w:t>
      </w:r>
      <w:r>
        <w:rPr>
          <w:i/>
          <w:iCs/>
        </w:rPr>
        <w:t>Mixer</w:t>
      </w:r>
      <w:r>
        <w:rPr/>
        <w:t xml:space="preserve"> da </w:t>
      </w:r>
      <w:r>
        <w:rPr>
          <w:i/>
          <w:iCs/>
        </w:rPr>
        <w:t>Microsoft</w:t>
      </w:r>
      <w:r>
        <w:rPr/>
        <w:t xml:space="preserve"> (hoje uma filiada da </w:t>
      </w:r>
      <w:r>
        <w:rPr>
          <w:i/>
          <w:iCs/>
        </w:rPr>
        <w:t>Facebook Gaming</w:t>
      </w:r>
      <w:r>
        <w:rPr/>
        <w:t xml:space="preserve"> do </w:t>
      </w:r>
      <w:r>
        <w:rPr>
          <w:i/>
          <w:iCs/>
        </w:rPr>
        <w:t>Facebook</w:t>
      </w:r>
      <w:r>
        <w:rPr/>
        <w:t xml:space="preserve">) e eventualmente migrou para a </w:t>
      </w:r>
      <w:r>
        <w:rPr>
          <w:i/>
          <w:iCs/>
        </w:rPr>
        <w:t>Twitch</w:t>
      </w:r>
      <w:r>
        <w:rPr>
          <w:bCs w:val="false"/>
        </w:rPr>
        <w:t xml:space="preserve"> (</w:t>
      </w:r>
      <w:r>
        <w:rPr/>
        <w:t xml:space="preserve">gerenciada pela </w:t>
      </w:r>
      <w:r>
        <w:rPr>
          <w:i/>
          <w:iCs/>
        </w:rPr>
        <w:t>Amazon</w:t>
      </w:r>
      <w:r>
        <w:rPr/>
        <w:t xml:space="preserve">), visto que a maior parte dos grandes </w:t>
      </w:r>
      <w:r>
        <w:rPr>
          <w:i/>
          <w:iCs/>
        </w:rPr>
        <w:t xml:space="preserve">streamers </w:t>
      </w:r>
      <w:r>
        <w:rPr/>
        <w:t xml:space="preserve">de todo o mundo se encontravam nessa plataforma. Srta. S comenta que a sua experiência durante os tempos de </w:t>
      </w:r>
      <w:r>
        <w:rPr>
          <w:i/>
          <w:iCs/>
        </w:rPr>
        <w:t>Mixer</w:t>
      </w:r>
      <w:r>
        <w:rPr/>
        <w:t xml:space="preserve"> sempre foi muito boa, visto que a grande parte dos espectadores eram muito amigáveis, já nos primeiros meses de </w:t>
      </w:r>
      <w:r>
        <w:rPr>
          <w:i/>
          <w:iCs/>
        </w:rPr>
        <w:t>Twitch</w:t>
      </w:r>
      <w:r>
        <w:rPr/>
        <w:t xml:space="preserve"> a história foi um tanto diferente já que uma quantidade considerável de usuários aparecia apenas para fazer comentários maldosos e “brincadeiras” durante a transmissão.</w:t>
      </w:r>
    </w:p>
    <w:p>
      <w:pPr>
        <w:pStyle w:val="PadroABNT"/>
        <w:spacing w:before="0" w:after="0"/>
        <w:ind w:left="0" w:right="0" w:firstLine="709"/>
        <w:rPr/>
      </w:pPr>
      <w:r>
        <w:rPr>
          <w:bCs w:val="false"/>
        </w:rPr>
        <w:tab/>
        <w:t xml:space="preserve">Quando perguntada sobre sua postura e da plataforma em relação a estes casos, a resposta foi: </w:t>
      </w:r>
      <w:r>
        <w:rPr>
          <w:bCs w:val="false"/>
          <w:i/>
          <w:iCs/>
        </w:rPr>
        <w:t>“No começo a gente (streamers) tinha que fazer tudo sozinho ou pedir pros mods (moderadores) tomarem conta da comunidade, porque a própria Twitch ‘até uns tempos atrás’ não tinha nenhum procedimento pra lidar com esses casos e só criaram um jeito de encaminhar denúncias depois que muitas streamers começaram a expor os assédios que sofriam. […] Hoje eu felizmente tenho uma comunidade muito legal e bem consciente, tanto que assim que aparece um ‘engraçadinho’ a própria galera ‘já chega no enquadro’ e coloca ordem no chat.”</w:t>
      </w:r>
      <w:r>
        <w:rPr>
          <w:bCs w:val="false"/>
        </w:rPr>
        <w:t>.</w:t>
      </w:r>
    </w:p>
    <w:p>
      <w:pPr>
        <w:pStyle w:val="PadroABNT"/>
        <w:spacing w:before="0" w:after="0"/>
        <w:ind w:left="0" w:right="0" w:firstLine="709"/>
        <w:rPr/>
      </w:pPr>
      <w:r>
        <w:rPr>
          <w:bCs w:val="false"/>
        </w:rPr>
        <w:tab/>
        <w:t xml:space="preserve">Por fim, Srta. S comentou também sobre suas perspectivas e expectativas sobre o cenário atual dos </w:t>
      </w:r>
      <w:r>
        <w:rPr>
          <w:bCs w:val="false"/>
          <w:i/>
          <w:iCs/>
        </w:rPr>
        <w:t>games</w:t>
      </w:r>
      <w:r>
        <w:rPr>
          <w:bCs w:val="false"/>
        </w:rPr>
        <w:t xml:space="preserve"> e do </w:t>
      </w:r>
      <w:r>
        <w:rPr>
          <w:bCs w:val="false"/>
          <w:i/>
          <w:iCs/>
        </w:rPr>
        <w:t>streaming</w:t>
      </w:r>
      <w:r>
        <w:rPr>
          <w:bCs w:val="false"/>
        </w:rPr>
        <w:t xml:space="preserve">: </w:t>
      </w:r>
      <w:r>
        <w:rPr>
          <w:bCs w:val="false"/>
          <w:i/>
          <w:iCs/>
        </w:rPr>
        <w:t>“Eu acho que além das plataformas terem de tomar providências e atitudes mais rígidas para punir esses usuários (que assediam streamers), elas poderiam também ter um material que ‘eduque’ os streamers e os usuários, já que muitos parecem não se importar com o profissionalismo e acabam fazendo as coisas ‘de qualquer jeito’ e perpetuando ainda mais esses comportamentos ruins. Felizmente agora as coisas estão mudando bastante e eu estou muito feliz com a minha escolha de carreira e principalmente de ver que hoje em dia já temos muito mais meninas participando desse cenário (dos jogos e do streaming) e provavelmente esse número tende a aumentar cada vez mais […]”</w:t>
      </w:r>
      <w:r>
        <w:rPr>
          <w:bCs w:val="false"/>
        </w:rPr>
        <w:t>.</w:t>
      </w:r>
    </w:p>
    <w:p>
      <w:pPr>
        <w:pStyle w:val="PadroABNT"/>
        <w:spacing w:before="0" w:after="0"/>
        <w:ind w:left="0" w:right="0" w:hanging="0"/>
        <w:rPr/>
      </w:pPr>
      <w:r>
        <w:rPr/>
      </w:r>
    </w:p>
    <w:sectPr>
      <w:headerReference w:type="default" r:id="rId2"/>
      <w:footerReference w:type="default" r:id="rId3"/>
      <w:type w:val="nextPage"/>
      <w:pgSz w:w="11906" w:h="16838"/>
      <w:pgMar w:left="1701" w:right="1134" w:header="426" w:top="1325" w:footer="720" w:bottom="1134" w:gutter="0"/>
      <w:pgNumType w:start="1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UCIANE RIBEIRO DIAS PINHEIRO" w:date="2021-05-08T11:11:11Z" w:initials="LP">
    <w:p>
      <w:r>
        <w:rPr>
          <w:rFonts w:ascii="Liberation Serif" w:hAnsi="Liberation Serif" w:eastAsia="Cantarell" w:cs="Noto Kufi Arabic"/>
          <w:lang w:val="en-US" w:eastAsia="en-US" w:bidi="en-US"/>
        </w:rPr>
        <w:t>EXPLICAR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Style w:val="Pagenumber"/>
        <w:rFonts w:cs="Arial" w:ascii="Arial" w:hAnsi="Arial"/>
        <w:i w:val="false"/>
        <w:sz w:val="13"/>
        <w:szCs w:val="13"/>
      </w:rPr>
      <w:t>XII FATECLOG</w:t>
    </w:r>
    <w:r>
      <w:rPr>
        <w:rStyle w:val="Pagenumber"/>
        <w:rFonts w:cs="Arial" w:ascii="Arial" w:hAnsi="Arial"/>
        <w:b w:val="false"/>
        <w:i w:val="false"/>
        <w:sz w:val="13"/>
        <w:szCs w:val="13"/>
      </w:rPr>
      <w:t xml:space="preserve"> - </w:t>
    </w:r>
    <w:r>
      <w:rPr>
        <w:rStyle w:val="Pagenumber"/>
        <w:rFonts w:cs="Arial" w:ascii="Arial" w:hAnsi="Arial"/>
        <w:i w:val="false"/>
        <w:sz w:val="13"/>
        <w:szCs w:val="13"/>
      </w:rPr>
      <w:t>GESTÃO DA CADEIA DE SUPRIMENTOS NO AGRONEGÓCIO: DESAFIOS E OPORTUNIDADES NO CONTEXTO ATUAL</w:t>
    </w:r>
  </w:p>
  <w:p>
    <w:pPr>
      <w:pStyle w:val="Cabealho"/>
      <w:jc w:val="center"/>
      <w:rPr>
        <w:rFonts w:ascii="Arial" w:hAnsi="Arial" w:cs="Arial"/>
        <w:i w:val="false"/>
        <w:i w:val="false"/>
        <w:iCs/>
        <w:sz w:val="13"/>
        <w:szCs w:val="13"/>
      </w:rPr>
    </w:pPr>
    <w:r>
      <w:rPr>
        <w:rFonts w:cs="Arial" w:ascii="Arial" w:hAnsi="Arial"/>
        <w:i w:val="false"/>
        <w:iCs/>
        <w:sz w:val="13"/>
        <w:szCs w:val="13"/>
      </w:rPr>
      <w:t>FATEC MOGI DAS CRUZES</w:t>
    </w:r>
  </w:p>
  <w:p>
    <w:pPr>
      <w:pStyle w:val="Cabealho"/>
      <w:jc w:val="center"/>
      <w:rPr>
        <w:rFonts w:ascii="Arial" w:hAnsi="Arial" w:cs="Arial"/>
        <w:i w:val="false"/>
        <w:i w:val="false"/>
        <w:iCs/>
        <w:sz w:val="13"/>
        <w:szCs w:val="13"/>
      </w:rPr>
    </w:pPr>
    <w:r>
      <w:rPr>
        <w:rFonts w:cs="Arial" w:ascii="Arial" w:hAnsi="Arial"/>
        <w:i w:val="false"/>
        <w:iCs/>
        <w:sz w:val="13"/>
        <w:szCs w:val="13"/>
      </w:rPr>
      <w:t>MOGI DAS CRUZES/SP - BRASIL</w:t>
    </w:r>
  </w:p>
  <w:p>
    <w:pPr>
      <w:pStyle w:val="Cabealho"/>
      <w:jc w:val="center"/>
      <w:rPr>
        <w:rFonts w:ascii="Arial" w:hAnsi="Arial" w:cs="Arial"/>
        <w:i w:val="false"/>
        <w:i w:val="false"/>
        <w:iCs/>
        <w:sz w:val="13"/>
        <w:szCs w:val="13"/>
      </w:rPr>
    </w:pPr>
    <w:r>
      <w:rPr>
        <w:rFonts w:cs="Arial" w:ascii="Arial" w:hAnsi="Arial"/>
        <w:i w:val="false"/>
        <w:iCs/>
        <w:sz w:val="13"/>
        <w:szCs w:val="13"/>
      </w:rPr>
      <w:t>18 E 19 DE JUNHO DE 2021</w:t>
    </w:r>
  </w:p>
  <w:p>
    <w:pPr>
      <w:pStyle w:val="Cabealho"/>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0" distR="0" simplePos="0" locked="0" layoutInCell="0" allowOverlap="1" relativeHeight="13">
              <wp:simplePos x="0" y="0"/>
              <wp:positionH relativeFrom="column">
                <wp:posOffset>-363220</wp:posOffset>
              </wp:positionH>
              <wp:positionV relativeFrom="paragraph">
                <wp:posOffset>-240665</wp:posOffset>
              </wp:positionV>
              <wp:extent cx="2706370" cy="973455"/>
              <wp:effectExtent l="0" t="0" r="0" b="0"/>
              <wp:wrapSquare wrapText="bothSides"/>
              <wp:docPr id="1" name="Retângulo 1"/>
              <a:graphic xmlns:a="http://schemas.openxmlformats.org/drawingml/2006/main">
                <a:graphicData uri="http://schemas.microsoft.com/office/word/2010/wordprocessingShape">
                  <wps:wsp>
                    <wps:cNvSpPr/>
                    <wps:spPr>
                      <a:xfrm>
                        <a:off x="0" y="0"/>
                        <a:ext cx="2705760" cy="972720"/>
                      </a:xfrm>
                      <a:prstGeom prst="rect">
                        <a:avLst/>
                      </a:prstGeom>
                      <a:solidFill>
                        <a:srgbClr val="ffffff"/>
                      </a:solidFill>
                      <a:ln w="0">
                        <a:noFill/>
                      </a:ln>
                    </wps:spPr>
                    <wps:style>
                      <a:lnRef idx="0"/>
                      <a:fillRef idx="0"/>
                      <a:effectRef idx="0"/>
                      <a:fontRef idx="minor"/>
                    </wps:style>
                    <wps:txbx>
                      <w:txbxContent>
                        <w:p>
                          <w:pPr>
                            <w:pStyle w:val="Contedodoquadro"/>
                            <w:overflowPunct w:val="tru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true"/>
                            <w:jc w:val="left"/>
                            <w:rPr/>
                          </w:pPr>
                          <w:r>
                            <w:rPr/>
                          </w:r>
                        </w:p>
                        <w:p>
                          <w:pPr>
                            <w:pStyle w:val="Contedodoquadro"/>
                            <w:overflowPunct w:val="true"/>
                            <w:jc w:val="left"/>
                            <w:rPr/>
                          </w:pPr>
                          <w:r>
                            <w:rPr/>
                          </w:r>
                        </w:p>
                        <w:p>
                          <w:pPr>
                            <w:pStyle w:val="Contedodoquadro"/>
                            <w:overflowPunct w:val="true"/>
                            <w:jc w:val="left"/>
                            <w:rPr/>
                          </w:pPr>
                          <w:r>
                            <w:rPr/>
                          </w:r>
                        </w:p>
                      </w:txbxContent>
                    </wps:txbx>
                    <wps:bodyPr lIns="90000" rIns="90000" tIns="45000" bIns="45000">
                      <a:noAutofit/>
                    </wps:bodyPr>
                  </wps:wsp>
                </a:graphicData>
              </a:graphic>
            </wp:anchor>
          </w:drawing>
        </mc:Choice>
        <mc:Fallback>
          <w:pict>
            <v:rect id="shape_0" ID="Retângulo 1" fillcolor="white" stroked="f" style="position:absolute;margin-left:-28.6pt;margin-top:-18.95pt;width:213pt;height:76.55pt;mso-wrap-style:square;v-text-anchor:top">
              <v:fill o:detectmouseclick="t" type="solid" color2="black"/>
              <v:stroke color="#3465a4" joinstyle="round" endcap="flat"/>
              <v:textbox>
                <w:txbxContent>
                  <w:p>
                    <w:pPr>
                      <w:pStyle w:val="Contedodoquadro"/>
                      <w:overflowPunct w:val="tru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tru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true"/>
                      <w:jc w:val="left"/>
                      <w:rPr/>
                    </w:pPr>
                    <w:r>
                      <w:rPr/>
                    </w:r>
                  </w:p>
                  <w:p>
                    <w:pPr>
                      <w:pStyle w:val="Contedodoquadro"/>
                      <w:overflowPunct w:val="true"/>
                      <w:jc w:val="left"/>
                      <w:rPr/>
                    </w:pPr>
                    <w:r>
                      <w:rPr/>
                    </w:r>
                  </w:p>
                  <w:p>
                    <w:pPr>
                      <w:pStyle w:val="Contedodoquadro"/>
                      <w:overflowPunct w:val="true"/>
                      <w:jc w:val="left"/>
                      <w:rPr/>
                    </w:pPr>
                    <w:r>
                      <w:rPr/>
                    </w:r>
                  </w:p>
                </w:txbxContent>
              </v:textbox>
              <w10:wrap type="square"/>
            </v:rect>
          </w:pict>
        </mc:Fallback>
      </mc:AlternateContent>
      <w:drawing>
        <wp:anchor behindDoc="1" distT="0" distB="0" distL="0" distR="0" simplePos="0" locked="0" layoutInCell="0" allowOverlap="1" relativeHeight="26">
          <wp:simplePos x="0" y="0"/>
          <wp:positionH relativeFrom="column">
            <wp:posOffset>2318385</wp:posOffset>
          </wp:positionH>
          <wp:positionV relativeFrom="paragraph">
            <wp:posOffset>-1270</wp:posOffset>
          </wp:positionV>
          <wp:extent cx="1265555" cy="535305"/>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rcRect l="30673" t="35443" r="30126" b="35650"/>
                  <a:stretch>
                    <a:fillRect/>
                  </a:stretch>
                </pic:blipFill>
                <pic:spPr bwMode="auto">
                  <a:xfrm>
                    <a:off x="0" y="0"/>
                    <a:ext cx="1265555" cy="535305"/>
                  </a:xfrm>
                  <a:prstGeom prst="rect">
                    <a:avLst/>
                  </a:prstGeom>
                </pic:spPr>
              </pic:pic>
            </a:graphicData>
          </a:graphic>
        </wp:anchor>
      </w:drawing>
      <w:drawing>
        <wp:inline distT="0" distB="0" distL="0" distR="0">
          <wp:extent cx="1649095" cy="52578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2"/>
                  <a:stretch>
                    <a:fillRect/>
                  </a:stretch>
                </pic:blipFill>
                <pic:spPr bwMode="auto">
                  <a:xfrm>
                    <a:off x="0" y="0"/>
                    <a:ext cx="1649095" cy="5257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pStyle w:val="Ttulo5"/>
      <w:numFmt w:val="decimal"/>
      <w:suff w:val="space"/>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
    <w:next w:val="PadroABNT"/>
    <w:qFormat/>
    <w:pPr>
      <w:keepNext w:val="true"/>
      <w:numPr>
        <w:ilvl w:val="1"/>
        <w:numId w:val="1"/>
      </w:numPr>
      <w:spacing w:before="240" w:after="360"/>
      <w:outlineLvl w:val="1"/>
    </w:pPr>
    <w:rPr>
      <w:b/>
      <w:bCs/>
      <w:iCs/>
      <w:szCs w:val="28"/>
    </w:rPr>
  </w:style>
  <w:style w:type="paragraph" w:styleId="Ttulo3">
    <w:name w:val="Heading 3"/>
    <w:basedOn w:val="Normal"/>
    <w:next w:val="PadroABNT"/>
    <w:qFormat/>
    <w:pPr>
      <w:keepNext w:val="true"/>
      <w:numPr>
        <w:ilvl w:val="2"/>
        <w:numId w:val="1"/>
      </w:numPr>
      <w:spacing w:before="240" w:after="360"/>
      <w:outlineLvl w:val="2"/>
    </w:pPr>
    <w:rPr>
      <w:b/>
      <w:bCs/>
      <w:szCs w:val="26"/>
    </w:rPr>
  </w:style>
  <w:style w:type="paragraph" w:styleId="Ttulo4">
    <w:name w:val="Heading 4"/>
    <w:basedOn w:val="Normal"/>
    <w:next w:val="PadroABNT"/>
    <w:qFormat/>
    <w:pPr>
      <w:keepNext w:val="true"/>
      <w:numPr>
        <w:ilvl w:val="3"/>
        <w:numId w:val="1"/>
      </w:numPr>
      <w:spacing w:lineRule="auto" w:line="360" w:before="360" w:after="0"/>
      <w:outlineLvl w:val="3"/>
    </w:pPr>
    <w:rPr>
      <w:b/>
      <w:bCs/>
      <w:szCs w:val="28"/>
    </w:rPr>
  </w:style>
  <w:style w:type="paragraph" w:styleId="Ttulo5">
    <w:name w:val="Heading 5"/>
    <w:basedOn w:val="Normal"/>
    <w:next w:val="PadroABNT"/>
    <w:qFormat/>
    <w:pPr>
      <w:numPr>
        <w:ilvl w:val="4"/>
        <w:numId w:val="1"/>
      </w:numPr>
      <w:spacing w:lineRule="auto" w:line="360" w:before="360" w:after="0"/>
      <w:outlineLvl w:val="4"/>
    </w:pPr>
    <w:rPr>
      <w:b/>
      <w:bCs/>
      <w:iCs/>
      <w:szCs w:val="26"/>
    </w:rPr>
  </w:style>
  <w:style w:type="paragraph" w:styleId="Ttulo6">
    <w:name w:val="Heading 6"/>
    <w:basedOn w:val="Normal"/>
    <w:next w:val="Normal"/>
    <w:qFormat/>
    <w:pPr>
      <w:numPr>
        <w:ilvl w:val="0"/>
        <w:numId w:val="0"/>
      </w:numPr>
      <w:spacing w:before="240" w:after="60"/>
      <w:outlineLvl w:val="5"/>
    </w:pPr>
    <w:rPr>
      <w:b/>
      <w:bCs/>
      <w:sz w:val="22"/>
      <w:szCs w:val="22"/>
    </w:rPr>
  </w:style>
  <w:style w:type="paragraph" w:styleId="Ttulo7">
    <w:name w:val="Heading 7"/>
    <w:basedOn w:val="Normal"/>
    <w:next w:val="Normal"/>
    <w:qFormat/>
    <w:pPr>
      <w:numPr>
        <w:ilvl w:val="0"/>
        <w:numId w:val="0"/>
      </w:numPr>
      <w:spacing w:before="240" w:after="60"/>
      <w:outlineLvl w:val="6"/>
    </w:pPr>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ascii="Liberation Sans" w:hAnsi="Liberation San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Corpodotexto"/>
    <w:qFormat/>
    <w:pPr>
      <w:numPr>
        <w:ilvl w:val="0"/>
        <w:numId w:val="0"/>
      </w:numPr>
      <w:spacing w:lineRule="auto" w:line="360"/>
      <w:jc w:val="center"/>
      <w:outlineLvl w:val="0"/>
    </w:pPr>
    <w:rPr>
      <w:b/>
      <w:bCs/>
      <w:szCs w:val="32"/>
    </w:rPr>
  </w:style>
  <w:style w:type="paragraph" w:styleId="Caption">
    <w:name w:val="caption"/>
    <w:basedOn w:val="Normal"/>
    <w:next w:val="Normal"/>
    <w:autoRedefine/>
    <w:qFormat/>
    <w:pPr/>
    <w:rPr>
      <w:rFonts w:cs="Arial"/>
      <w:b/>
      <w:bCs/>
      <w:kern w:val="2"/>
      <w:sz w:val="20"/>
      <w:szCs w:val="20"/>
    </w:rPr>
  </w:style>
  <w:style w:type="paragraph" w:styleId="PadroABNT">
    <w:name w:val="Padrão ABNT"/>
    <w:basedOn w:val="Normal"/>
    <w:qFormat/>
    <w:pPr>
      <w:spacing w:lineRule="auto" w:line="360" w:before="0" w:after="360"/>
      <w:ind w:left="0" w:right="0" w:firstLine="680"/>
    </w:pPr>
    <w:rPr>
      <w:bCs/>
    </w:rPr>
  </w:style>
  <w:style w:type="paragraph" w:styleId="Sumrio2">
    <w:name w:val="TOC 2"/>
    <w:basedOn w:val="Normal"/>
    <w:next w:val="Normal"/>
    <w:autoRedefine/>
    <w:pPr>
      <w:tabs>
        <w:tab w:val="clear" w:pos="708"/>
        <w:tab w:val="right" w:pos="9061" w:leader="dot"/>
      </w:tabs>
      <w:spacing w:lineRule="auto" w:line="360"/>
      <w:ind w:left="284" w:right="0" w:hanging="0"/>
    </w:pPr>
    <w:rPr>
      <w:b/>
    </w:rPr>
  </w:style>
  <w:style w:type="paragraph" w:styleId="Sumrio3">
    <w:name w:val="TOC 3"/>
    <w:basedOn w:val="Normal"/>
    <w:next w:val="Normal"/>
    <w:autoRedefine/>
    <w:pPr>
      <w:tabs>
        <w:tab w:val="clear" w:pos="708"/>
        <w:tab w:val="right" w:pos="9061" w:leader="dot"/>
      </w:tabs>
      <w:spacing w:lineRule="auto" w:line="360"/>
      <w:ind w:left="567" w:right="0" w:hanging="0"/>
    </w:pPr>
    <w:rPr>
      <w:b/>
    </w:rPr>
  </w:style>
  <w:style w:type="paragraph" w:styleId="Sumrio4">
    <w:name w:val="TOC 4"/>
    <w:basedOn w:val="Normal"/>
    <w:next w:val="Normal"/>
    <w:autoRedefine/>
    <w:pPr>
      <w:tabs>
        <w:tab w:val="clear" w:pos="708"/>
        <w:tab w:val="right" w:pos="9061" w:leader="dot"/>
      </w:tabs>
      <w:spacing w:lineRule="auto" w:line="360"/>
      <w:ind w:left="851" w:right="0" w:hanging="0"/>
    </w:pPr>
    <w:rPr>
      <w:b/>
    </w:rPr>
  </w:style>
  <w:style w:type="paragraph" w:styleId="Sumrio5">
    <w:name w:val="TOC 5"/>
    <w:basedOn w:val="Normal"/>
    <w:next w:val="Normal"/>
    <w:autoRedefine/>
    <w:pPr>
      <w:tabs>
        <w:tab w:val="clear" w:pos="708"/>
        <w:tab w:val="right" w:pos="9061" w:leader="dot"/>
      </w:tabs>
      <w:spacing w:lineRule="auto" w:line="360"/>
      <w:ind w:left="1134" w:right="0" w:hanging="0"/>
    </w:pPr>
    <w:rPr>
      <w:b/>
    </w:rPr>
  </w:style>
  <w:style w:type="paragraph" w:styleId="Sumrio1">
    <w:name w:val="TOC 1"/>
    <w:basedOn w:val="Normal"/>
    <w:next w:val="Normal"/>
    <w:autoRedefine/>
    <w:pPr>
      <w:tabs>
        <w:tab w:val="clear" w:pos="708"/>
        <w:tab w:val="right" w:pos="9062" w:leader="dot"/>
      </w:tabs>
      <w:spacing w:lineRule="auto" w:line="360" w:before="240" w:after="280"/>
    </w:pPr>
    <w:rPr>
      <w:b/>
    </w:rPr>
  </w:style>
  <w:style w:type="paragraph" w:styleId="CitaoLonga">
    <w:name w:val="Citação Longa"/>
    <w:basedOn w:val="Normal"/>
    <w:next w:val="PadroABNT"/>
    <w:autoRedefine/>
    <w:qFormat/>
    <w:pPr>
      <w:spacing w:before="0" w:after="280"/>
      <w:ind w:left="2268" w:right="0" w:hanging="0"/>
    </w:pPr>
    <w:rPr>
      <w:sz w:val="20"/>
    </w:rPr>
  </w:style>
  <w:style w:type="paragraph" w:styleId="CabealhoeRodap">
    <w:name w:val="Cabeçalho e Rodapé"/>
    <w:basedOn w:val="Normal"/>
    <w:qFormat/>
    <w:pPr/>
    <w:rPr/>
  </w:style>
  <w:style w:type="paragraph" w:styleId="Cabealho">
    <w:name w:val="Header"/>
    <w:basedOn w:val="Normal"/>
    <w:autoRedefine/>
    <w:pPr>
      <w:tabs>
        <w:tab w:val="clear" w:pos="708"/>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
    <w:next w:val="Normal"/>
    <w:autoRedefine/>
    <w:pPr>
      <w:spacing w:lineRule="auto" w:line="360"/>
      <w:ind w:left="1418" w:right="0" w:hanging="0"/>
    </w:pPr>
    <w:rPr>
      <w:b/>
    </w:rPr>
  </w:style>
  <w:style w:type="paragraph" w:styleId="Sumrio7">
    <w:name w:val="TOC 7"/>
    <w:basedOn w:val="Normal"/>
    <w:next w:val="Normal"/>
    <w:autoRedefine/>
    <w:pPr>
      <w:spacing w:lineRule="auto" w:line="360"/>
      <w:ind w:left="1701" w:right="0" w:hanging="0"/>
    </w:pPr>
    <w:rPr>
      <w:b/>
    </w:rPr>
  </w:style>
  <w:style w:type="paragraph" w:styleId="Sumrio8">
    <w:name w:val="TOC 8"/>
    <w:basedOn w:val="Normal"/>
    <w:next w:val="Normal"/>
    <w:autoRedefine/>
    <w:pPr>
      <w:spacing w:lineRule="auto" w:line="360"/>
      <w:ind w:left="1985" w:right="0" w:hanging="0"/>
    </w:pPr>
    <w:rPr>
      <w:b/>
    </w:rPr>
  </w:style>
  <w:style w:type="paragraph" w:styleId="Sumrio9">
    <w:name w:val="TOC 9"/>
    <w:basedOn w:val="Normal"/>
    <w:next w:val="Normal"/>
    <w:autoRedefine/>
    <w:pPr>
      <w:spacing w:lineRule="auto" w:line="360"/>
      <w:ind w:left="2268" w:right="0" w:hanging="0"/>
    </w:pPr>
    <w:rPr>
      <w:b/>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NormalWeb">
    <w:name w:val="Normal (Web)"/>
    <w:basedOn w:val="Normal"/>
    <w:qFormat/>
    <w:pPr/>
    <w:rPr/>
  </w:style>
  <w:style w:type="paragraph" w:styleId="HTMLPreformatted">
    <w:name w:val="HTML Preformatted"/>
    <w:basedOn w:val="Normal"/>
    <w:qFormat/>
    <w:pPr/>
    <w:rPr>
      <w:rFonts w:ascii="Courier New" w:hAnsi="Courier New" w:cs="Verdana"/>
      <w:sz w:val="20"/>
      <w:szCs w:val="20"/>
    </w:rPr>
  </w:style>
  <w:style w:type="paragraph" w:styleId="RefBibliogrfica">
    <w:name w:val="Ref. Bibliográfica"/>
    <w:basedOn w:val="Normal"/>
    <w:qFormat/>
    <w:pPr>
      <w:spacing w:before="280" w:after="360"/>
      <w:jc w:val="left"/>
    </w:pPr>
    <w:rPr/>
  </w:style>
  <w:style w:type="paragraph" w:styleId="Rodap">
    <w:name w:val="Footer"/>
    <w:basedOn w:val="Normal"/>
    <w:pPr>
      <w:tabs>
        <w:tab w:val="clear" w:pos="708"/>
        <w:tab w:val="center" w:pos="4252" w:leader="none"/>
        <w:tab w:val="right" w:pos="8504" w:leader="none"/>
      </w:tabs>
    </w:pPr>
    <w:rPr/>
  </w:style>
  <w:style w:type="paragraph" w:styleId="Citaolonga1">
    <w:name w:val="Citação longa"/>
    <w:basedOn w:val="Normal"/>
    <w:next w:val="PadroABNT"/>
    <w:qFormat/>
    <w:pPr>
      <w:spacing w:before="120" w:after="240"/>
      <w:ind w:left="2268" w:right="0" w:hanging="0"/>
    </w:pPr>
    <w:rPr>
      <w:bCs/>
      <w:sz w:val="22"/>
      <w:szCs w:val="20"/>
    </w:rPr>
  </w:style>
  <w:style w:type="paragraph" w:styleId="Notaderodap">
    <w:name w:val="Footnote Text"/>
    <w:basedOn w:val="Normal"/>
    <w:pPr/>
    <w:rPr>
      <w:sz w:val="20"/>
      <w:szCs w:val="20"/>
    </w:rPr>
  </w:style>
  <w:style w:type="paragraph" w:styleId="Blockquote">
    <w:name w:val="Blockquote"/>
    <w:basedOn w:val="Normal"/>
    <w:qFormat/>
    <w:pPr>
      <w:spacing w:before="100" w:after="100"/>
      <w:ind w:left="360" w:right="360" w:hanging="0"/>
    </w:pPr>
    <w:rPr>
      <w:szCs w:val="20"/>
    </w:rPr>
  </w:style>
  <w:style w:type="paragraph" w:styleId="Tableoffigures">
    <w:name w:val="table of figures"/>
    <w:basedOn w:val="Normal"/>
    <w:next w:val="Normal"/>
    <w:autoRedefine/>
    <w:qFormat/>
    <w:pPr>
      <w:tabs>
        <w:tab w:val="clear" w:pos="708"/>
        <w:tab w:val="right" w:pos="9062" w:leader="dot"/>
      </w:tabs>
      <w:spacing w:before="100" w:after="100"/>
    </w:pPr>
    <w:rPr>
      <w:b/>
    </w:rPr>
  </w:style>
  <w:style w:type="paragraph" w:styleId="Epgrafe">
    <w:name w:val="Epígrafe"/>
    <w:basedOn w:val="Normal"/>
    <w:next w:val="Normal"/>
    <w:autoRedefine/>
    <w:qFormat/>
    <w:pPr>
      <w:spacing w:before="0" w:after="240"/>
      <w:ind w:left="2268" w:right="0" w:hanging="0"/>
      <w:jc w:val="right"/>
    </w:pPr>
    <w:rPr>
      <w:rFonts w:cs="Arial"/>
      <w:bCs/>
      <w:kern w:val="2"/>
      <w:sz w:val="22"/>
    </w:rPr>
  </w:style>
  <w:style w:type="paragraph" w:styleId="BodyText3">
    <w:name w:val="Body Text 3"/>
    <w:basedOn w:val="Normal"/>
    <w:qFormat/>
    <w:pPr>
      <w:widowControl w:val="false"/>
    </w:pPr>
    <w:rPr>
      <w:b/>
      <w:bCs/>
    </w:rPr>
  </w:style>
  <w:style w:type="paragraph" w:styleId="BodyTextIndent3">
    <w:name w:val="Body Text Indent 3"/>
    <w:basedOn w:val="Normal"/>
    <w:qFormat/>
    <w:pPr>
      <w:spacing w:before="0" w:after="120"/>
      <w:ind w:left="283" w:right="0" w:hanging="0"/>
    </w:pPr>
    <w:rPr>
      <w:sz w:val="16"/>
      <w:szCs w:val="16"/>
    </w:rPr>
  </w:style>
  <w:style w:type="paragraph" w:styleId="Corpodotextorecuado">
    <w:name w:val="Body Text Indent"/>
    <w:basedOn w:val="Normal"/>
    <w:pPr>
      <w:spacing w:before="0" w:after="120"/>
      <w:ind w:left="283" w:right="0" w:hanging="0"/>
    </w:pPr>
    <w:rPr/>
  </w:style>
  <w:style w:type="paragraph" w:styleId="BodyText2">
    <w:name w:val="Body Text 2"/>
    <w:basedOn w:val="Normal"/>
    <w:qFormat/>
    <w:pPr>
      <w:spacing w:lineRule="auto" w:line="480" w:before="0" w:after="120"/>
    </w:pPr>
    <w:rPr/>
  </w:style>
  <w:style w:type="paragraph" w:styleId="BodyTextIndent2">
    <w:name w:val="Body Text Indent 2"/>
    <w:basedOn w:val="Normal"/>
    <w:qFormat/>
    <w:pPr>
      <w:spacing w:lineRule="auto" w:line="480" w:before="0" w:after="120"/>
      <w:ind w:left="283" w:right="0" w:hanging="0"/>
    </w:pPr>
    <w:rPr/>
  </w:style>
  <w:style w:type="paragraph" w:styleId="Titulo">
    <w:name w:val="titulo"/>
    <w:basedOn w:val="Normal"/>
    <w:qFormat/>
    <w:pPr>
      <w:spacing w:before="280" w:after="280"/>
    </w:pPr>
    <w:rPr>
      <w:rFonts w:cs="Arial"/>
      <w:color w:val="000099"/>
      <w:sz w:val="16"/>
      <w:szCs w:val="16"/>
    </w:rPr>
  </w:style>
  <w:style w:type="paragraph" w:styleId="ListNumber">
    <w:name w:val="List Number"/>
    <w:basedOn w:val="Normal"/>
    <w:qFormat/>
    <w:pPr>
      <w:tabs>
        <w:tab w:val="clear" w:pos="708"/>
        <w:tab w:val="left" w:pos="360" w:leader="none"/>
      </w:tabs>
      <w:ind w:left="360" w:right="0" w:hanging="360"/>
    </w:pPr>
    <w:rPr/>
  </w:style>
  <w:style w:type="paragraph" w:styleId="BlockText">
    <w:name w:val="Block Text"/>
    <w:basedOn w:val="Normal"/>
    <w:qFormat/>
    <w:pPr>
      <w:ind w:left="851" w:right="851" w:hanging="0"/>
    </w:pPr>
    <w:rPr>
      <w:i/>
      <w:szCs w:val="20"/>
    </w:rPr>
  </w:style>
  <w:style w:type="paragraph" w:styleId="Curriculo">
    <w:name w:val="curriculo"/>
    <w:basedOn w:val="Normal"/>
    <w:qFormat/>
    <w:pPr>
      <w:spacing w:before="280" w:after="280"/>
    </w:pPr>
    <w:rPr>
      <w:rFonts w:cs="Arial"/>
      <w:color w:val="000080"/>
      <w:sz w:val="16"/>
      <w:szCs w:val="16"/>
    </w:rPr>
  </w:style>
  <w:style w:type="paragraph" w:styleId="Publicado">
    <w:name w:val="publicado"/>
    <w:basedOn w:val="Normal"/>
    <w:qFormat/>
    <w:pPr>
      <w:spacing w:before="280" w:after="280"/>
    </w:pPr>
    <w:rPr>
      <w:rFonts w:cs="Arial"/>
      <w:i/>
      <w:iCs/>
      <w:color w:val="FF9900"/>
      <w:sz w:val="16"/>
      <w:szCs w:val="16"/>
    </w:rPr>
  </w:style>
  <w:style w:type="paragraph" w:styleId="Autor">
    <w:name w:val="autor"/>
    <w:basedOn w:val="Normal"/>
    <w:qFormat/>
    <w:pPr>
      <w:spacing w:before="280" w:after="280"/>
    </w:pPr>
    <w:rPr>
      <w:rFonts w:cs="Arial"/>
      <w:color w:val="808080"/>
      <w:sz w:val="16"/>
      <w:szCs w:val="16"/>
    </w:rPr>
  </w:style>
  <w:style w:type="paragraph" w:styleId="Sumario">
    <w:name w:val="sumario"/>
    <w:basedOn w:val="Normal"/>
    <w:qFormat/>
    <w:pPr>
      <w:spacing w:before="280" w:after="280"/>
    </w:pPr>
    <w:rPr>
      <w:rFonts w:cs="Arial"/>
      <w:color w:val="000000"/>
      <w:sz w:val="15"/>
      <w:szCs w:val="15"/>
    </w:rPr>
  </w:style>
  <w:style w:type="paragraph" w:styleId="Bibliografia">
    <w:name w:val="bibliografia"/>
    <w:basedOn w:val="Normal"/>
    <w:qFormat/>
    <w:pPr>
      <w:spacing w:before="280" w:after="280"/>
    </w:pPr>
    <w:rPr>
      <w:rFonts w:cs="Arial"/>
      <w:color w:val="808080"/>
      <w:sz w:val="16"/>
      <w:szCs w:val="16"/>
    </w:rPr>
  </w:style>
  <w:style w:type="paragraph" w:styleId="NormalArial">
    <w:name w:val="Normal + Arial"/>
    <w:basedOn w:val="Normal"/>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
    <w:qFormat/>
    <w:pPr>
      <w:spacing w:lineRule="auto" w:line="360" w:before="120" w:after="120"/>
      <w:ind w:left="0" w:right="0" w:firstLine="709"/>
    </w:pPr>
    <w:rPr/>
  </w:style>
  <w:style w:type="paragraph" w:styleId="Quote">
    <w:name w:val="Quote"/>
    <w:basedOn w:val="Normal"/>
    <w:next w:val="Normal"/>
    <w:qFormat/>
    <w:pPr/>
    <w:rPr>
      <w:i/>
      <w:iCs/>
      <w:color w:val="000000"/>
      <w:lang w:val="x-none" w:eastAsia="x-none"/>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
    <w:qFormat/>
    <w:pPr>
      <w:spacing w:before="280" w:after="280"/>
    </w:pPr>
    <w:rPr/>
  </w:style>
  <w:style w:type="paragraph" w:styleId="Default">
    <w:name w:val="Default"/>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ages>12</Pages>
  <Words>3956</Words>
  <Characters>21003</Characters>
  <CharactersWithSpaces>24941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2021-05-28T11:45:50Z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