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luffy Slacks BTN" w:hAnsi="Fluffy Slacks BTN"/>
          <w:color w:val="8BB2B9"/>
          <w:sz w:val="40"/>
          <w:szCs w:val="40"/>
        </w:rPr>
      </w:pPr>
      <w:r>
        <w:rPr>
          <w:rFonts w:ascii="Fluffy Slacks BTN" w:hAnsi="Fluffy Slacks BTN"/>
          <w:color w:val="8BB2B9"/>
          <w:sz w:val="40"/>
          <w:szCs w:val="40"/>
        </w:rPr>
        <w:t>Eras da Qualidade</w:t>
      </w:r>
    </w:p>
    <w:p>
      <w:pPr>
        <w:pStyle w:val="Normal"/>
        <w:rPr/>
      </w:pPr>
      <w:r>
        <w:rPr/>
      </w:r>
    </w:p>
    <w:p>
      <w:pPr>
        <w:pStyle w:val="Corpodotextorecuado"/>
        <w:ind w:left="0" w:right="0" w:hanging="0"/>
        <w:rPr>
          <w:sz w:val="28"/>
        </w:rPr>
      </w:pPr>
      <w:r>
        <w:rPr>
          <w:sz w:val="28"/>
        </w:rPr>
        <w:t>Leia o texto a seguir: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222222"/>
          <w:shd w:fill="FFFFFF" w:val="clear"/>
          <w:lang w:val="pt-BR"/>
        </w:rPr>
        <w:t>1</w:t>
      </w:r>
      <w:r>
        <w:rPr>
          <w:rFonts w:cs="Arial" w:ascii="Arial" w:hAnsi="Arial"/>
          <w:b/>
          <w:color w:val="222222"/>
          <w:shd w:fill="FFFFFF" w:val="clear"/>
          <w:vertAlign w:val="superscript"/>
          <w:lang w:val="pt-BR"/>
        </w:rPr>
        <w:t>a</w:t>
      </w:r>
      <w:r>
        <w:rPr>
          <w:rFonts w:cs="Arial" w:ascii="Arial" w:hAnsi="Arial"/>
          <w:b/>
          <w:color w:val="222222"/>
          <w:shd w:fill="FFFFFF" w:val="clear"/>
          <w:lang w:val="pt-BR"/>
        </w:rPr>
        <w:t xml:space="preserve"> Era da Qualidade.</w:t>
      </w:r>
    </w:p>
    <w:p>
      <w:pPr>
        <w:pStyle w:val="Normal"/>
        <w:jc w:val="both"/>
        <w:rPr/>
      </w:pPr>
      <w:r>
        <w:rPr>
          <w:rFonts w:cs="Arial" w:ascii="Arial" w:hAnsi="Arial"/>
          <w:color w:val="222222"/>
          <w:shd w:fill="FFFFFF" w:val="clear"/>
          <w:lang w:val="pt-BR"/>
        </w:rPr>
        <w:t>Nos séculos XVIII e XIX, não existia ainda o controle da qualidade tal como conhecemos hoje. Quase tudo era fabricado por artesãos e artífices habilidosos que produziam pequenas quantidades de cada produto; as peças eram ajustadas umas às outras manualmente e, após os produtos prontos, a inspeção para assegurar uma alta qualidade, era informal, quando feita. Assim surge a 1° Era da Qualidade ou também Era da Inspeção, onde a base era a observação direta, assim, era possível separar o bom produto/serviço do defeituoso. Esta fase prevaleceu por muitos anos, não havia uma análise crítica das causas do problema ou dos defeitos.</w:t>
      </w:r>
    </w:p>
    <w:p>
      <w:pPr>
        <w:pStyle w:val="Normal"/>
        <w:jc w:val="both"/>
        <w:rPr>
          <w:rFonts w:ascii="Arial" w:hAnsi="Arial" w:cs="Arial"/>
          <w:b/>
          <w:b/>
          <w:color w:val="222222"/>
          <w:shd w:fill="FFFFFF" w:val="clear"/>
          <w:lang w:val="pt-BR"/>
        </w:rPr>
      </w:pPr>
      <w:r>
        <w:rPr>
          <w:rFonts w:cs="Arial" w:ascii="Arial" w:hAnsi="Arial"/>
          <w:b/>
          <w:color w:val="222222"/>
          <w:shd w:fill="FFFFFF" w:val="clear"/>
          <w:lang w:val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222222"/>
          <w:lang w:val="pt-BR"/>
        </w:rPr>
        <w:br/>
      </w:r>
      <w:r>
        <w:rPr>
          <w:rFonts w:cs="Arial" w:ascii="Arial" w:hAnsi="Arial"/>
          <w:b/>
          <w:color w:val="222222"/>
          <w:shd w:fill="FFFFFF" w:val="clear"/>
          <w:lang w:val="pt-BR"/>
        </w:rPr>
        <w:t>2</w:t>
      </w:r>
      <w:r>
        <w:rPr>
          <w:rFonts w:cs="Arial" w:ascii="Arial" w:hAnsi="Arial"/>
          <w:b/>
          <w:color w:val="222222"/>
          <w:shd w:fill="FFFFFF" w:val="clear"/>
          <w:vertAlign w:val="superscript"/>
          <w:lang w:val="pt-BR"/>
        </w:rPr>
        <w:t>a</w:t>
      </w:r>
      <w:r>
        <w:rPr>
          <w:rFonts w:cs="Arial" w:ascii="Arial" w:hAnsi="Arial"/>
          <w:b/>
          <w:color w:val="222222"/>
          <w:shd w:fill="FFFFFF" w:val="clear"/>
          <w:lang w:val="pt-BR"/>
        </w:rPr>
        <w:t xml:space="preserve"> Era da Qualidade.</w:t>
      </w:r>
    </w:p>
    <w:p>
      <w:pPr>
        <w:pStyle w:val="Normal"/>
        <w:jc w:val="both"/>
        <w:rPr>
          <w:rFonts w:ascii="Arial" w:hAnsi="Arial" w:cs="Arial"/>
          <w:color w:val="222222"/>
          <w:shd w:fill="FFFFFF" w:val="clear"/>
          <w:lang w:val="pt-BR"/>
        </w:rPr>
      </w:pPr>
      <w:r>
        <w:rPr>
          <w:rFonts w:cs="Arial" w:ascii="Arial" w:hAnsi="Arial"/>
          <w:color w:val="222222"/>
          <w:shd w:fill="FFFFFF" w:val="clear"/>
          <w:lang w:val="pt-BR"/>
        </w:rPr>
        <w:t>A inspeção formal só passou a ser necessária com o surgimento da produção em massa e a necessidade de peças intercambiáveis. Assim se iniciou a 2° Era, a Era do Controle Estatístico da Qualidade, que com o aumento da capacidade produtiva, era inviável inspecionar os produtos individualmente. Assim, o controle passou a ser feito por base de amostragem. Deming participou da concepção do controle estatístico. Além dele Feigenbaum também contribuiu com conceitos importantes, como: faça certo da primeira vez.</w:t>
      </w:r>
    </w:p>
    <w:p>
      <w:pPr>
        <w:pStyle w:val="Normal"/>
        <w:jc w:val="both"/>
        <w:rPr>
          <w:rFonts w:ascii="Arial" w:hAnsi="Arial" w:cs="Arial"/>
          <w:color w:val="222222"/>
          <w:lang w:val="pt-BR"/>
        </w:rPr>
      </w:pPr>
      <w:r>
        <w:rPr>
          <w:rFonts w:cs="Arial" w:ascii="Arial" w:hAnsi="Arial"/>
          <w:color w:val="222222"/>
          <w:lang w:val="pt-BR"/>
        </w:rPr>
        <w:br/>
      </w:r>
    </w:p>
    <w:p>
      <w:pPr>
        <w:pStyle w:val="Normal"/>
        <w:jc w:val="both"/>
        <w:rPr>
          <w:rFonts w:ascii="Arial" w:hAnsi="Arial" w:cs="Arial"/>
          <w:b/>
          <w:b/>
          <w:color w:val="222222"/>
          <w:shd w:fill="FFFFFF" w:val="clear"/>
          <w:lang w:val="pt-BR"/>
        </w:rPr>
      </w:pPr>
      <w:r>
        <w:rPr>
          <w:rFonts w:cs="Arial" w:ascii="Arial" w:hAnsi="Arial"/>
          <w:b/>
          <w:color w:val="222222"/>
          <w:shd w:fill="FFFFFF" w:val="clear"/>
          <w:lang w:val="pt-BR"/>
        </w:rPr>
        <w:t>3a Era da Qualidade.</w:t>
      </w:r>
    </w:p>
    <w:p>
      <w:pPr>
        <w:pStyle w:val="Normal"/>
        <w:jc w:val="both"/>
        <w:rPr>
          <w:rFonts w:ascii="Arial" w:hAnsi="Arial" w:cs="Arial"/>
          <w:color w:val="222222"/>
          <w:shd w:fill="FFFFFF" w:val="clear"/>
          <w:lang w:val="pt-BR"/>
        </w:rPr>
      </w:pPr>
      <w:r>
        <w:rPr>
          <w:rFonts w:cs="Arial" w:ascii="Arial" w:hAnsi="Arial"/>
          <w:color w:val="222222"/>
          <w:shd w:fill="FFFFFF" w:val="clear"/>
          <w:lang w:val="pt-BR"/>
        </w:rPr>
        <w:t>Entre 1950 e 1960 em plena atividade da Escola de Recursos Humanos e com trabalhos de Maslow, McGregor e Herzberg no estudo da motivação humana, vários trabalhos foram publicados no campo da qualidade. Mais uma ferramenta foi criada a prevenção e as técnicas foram além das ferramentas estatísticas, incluindo conceitos, habilidades e técnicas gerenciais. Os quatro principais movimentos que compõe esta era são: A quantificação dos custos da qualidade, controle total da qualidade, as técnicas de confiabilidade e programa Zero Defeitos de P. Crosby. Esta foi a 3° Era ou também chamada de Era da Garantia de Qualidade.</w:t>
      </w:r>
    </w:p>
    <w:p>
      <w:pPr>
        <w:pStyle w:val="Normal"/>
        <w:jc w:val="both"/>
        <w:rPr>
          <w:rFonts w:ascii="Arial" w:hAnsi="Arial" w:cs="Arial"/>
          <w:color w:val="222222"/>
          <w:shd w:fill="FFFFFF" w:val="clear"/>
          <w:lang w:val="pt-BR"/>
        </w:rPr>
      </w:pPr>
      <w:r>
        <w:rPr>
          <w:rFonts w:cs="Arial" w:ascii="Arial" w:hAnsi="Arial"/>
          <w:color w:val="222222"/>
          <w:shd w:fill="FFFFFF" w:val="clear"/>
          <w:lang w:val="pt-BR"/>
        </w:rPr>
      </w:r>
    </w:p>
    <w:p>
      <w:pPr>
        <w:pStyle w:val="Normal"/>
        <w:jc w:val="both"/>
        <w:rPr>
          <w:rFonts w:ascii="Arial" w:hAnsi="Arial" w:cs="Arial"/>
          <w:color w:val="222222"/>
          <w:shd w:fill="FFFFFF" w:val="clear"/>
          <w:lang w:val="pt-BR"/>
        </w:rPr>
      </w:pPr>
      <w:r>
        <w:rPr>
          <w:rFonts w:cs="Arial" w:ascii="Arial" w:hAnsi="Arial"/>
          <w:color w:val="222222"/>
          <w:shd w:fill="FFFFFF" w:val="clear"/>
          <w:lang w:val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222222"/>
          <w:shd w:fill="FFFFFF" w:val="clear"/>
          <w:lang w:val="pt-BR"/>
        </w:rPr>
        <w:t>4</w:t>
      </w:r>
      <w:r>
        <w:rPr>
          <w:rFonts w:cs="Arial" w:ascii="Arial" w:hAnsi="Arial"/>
          <w:b/>
          <w:color w:val="222222"/>
          <w:shd w:fill="FFFFFF" w:val="clear"/>
          <w:vertAlign w:val="superscript"/>
          <w:lang w:val="pt-BR"/>
        </w:rPr>
        <w:t>a</w:t>
      </w:r>
      <w:r>
        <w:rPr>
          <w:rFonts w:cs="Arial" w:ascii="Arial" w:hAnsi="Arial"/>
          <w:b/>
          <w:color w:val="222222"/>
          <w:shd w:fill="FFFFFF" w:val="clear"/>
          <w:lang w:val="pt-BR"/>
        </w:rPr>
        <w:t xml:space="preserve"> Era da Qualidade.</w:t>
      </w:r>
    </w:p>
    <w:p>
      <w:pPr>
        <w:pStyle w:val="Normal"/>
        <w:jc w:val="both"/>
        <w:rPr>
          <w:rFonts w:ascii="Arial" w:hAnsi="Arial" w:cs="Arial"/>
          <w:color w:val="222222"/>
          <w:shd w:fill="FFFFFF" w:val="clear"/>
          <w:lang w:val="pt-BR"/>
        </w:rPr>
      </w:pPr>
      <w:r>
        <w:rPr>
          <w:rFonts w:cs="Arial" w:ascii="Arial" w:hAnsi="Arial"/>
          <w:color w:val="222222"/>
          <w:shd w:fill="FFFFFF" w:val="clear"/>
          <w:lang w:val="pt-BR"/>
        </w:rPr>
        <w:t>E por último veio a 4° Era ou também conhecida como Era da Gestão da Qualidade Total. Esta Era teve início a partir da invasão no mercado americano dos produtos japoneses de alta qualidade no final da década de 1970. A Era da Gestão da Qualidade Total ou Gestão é a soma e consequência das três que a precederam e está em curso até hoje, onde sofreu uma alteração para Gestão Estratégica da Qualidade, onde se posiciona dentro dos enfoques da moderna Gestão Estratégica de Porter, Mintzberg, Prahalad &amp; Hamel entre outros. Nas palavras de Feigenbaum: "A qualidade quem estabelece é o cliente e não os engenheiros, nem o pessoal de marketing ou a alta administração. A qualidade pode ser definida como o conjunto total das características do produto ou serviço que satisfazem às expectativas do cliente".</w:t>
      </w:r>
    </w:p>
    <w:p>
      <w:pPr>
        <w:pStyle w:val="Normal"/>
        <w:rPr>
          <w:rFonts w:ascii="Times" w:hAnsi="Times"/>
          <w:lang w:val="pt-BR"/>
        </w:rPr>
      </w:pPr>
      <w:r>
        <w:rPr>
          <w:rFonts w:ascii="Times" w:hAnsi="Times"/>
          <w:lang w:val="pt-BR"/>
        </w:rPr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</w:p>
    <w:p>
      <w:pPr>
        <w:pStyle w:val="NormalWeb"/>
        <w:spacing w:lineRule="atLeast" w:line="300" w:before="0" w:after="375"/>
        <w:rPr/>
      </w:pPr>
      <w:r>
        <w:rPr>
          <w:rFonts w:cs="Arial" w:ascii="Arial" w:hAnsi="Arial"/>
          <w:b/>
          <w:bCs/>
          <w:color w:val="333333"/>
          <w:u w:val="single"/>
        </w:rPr>
        <w:t>Se achar que precisa de mais informação acesse</w:t>
      </w:r>
      <w:r>
        <w:rPr>
          <w:rFonts w:cs="Arial" w:ascii="Arial" w:hAnsi="Arial"/>
          <w:b/>
          <w:bCs/>
          <w:color w:val="333333"/>
        </w:rPr>
        <w:t xml:space="preserve">: </w:t>
      </w:r>
      <w:hyperlink r:id="rId2">
        <w:r>
          <w:rPr>
            <w:rStyle w:val="LinkdaInternet"/>
            <w:rFonts w:cs="Arial" w:ascii="Arial" w:hAnsi="Arial"/>
            <w:b/>
            <w:bCs/>
            <w:u w:val="none"/>
          </w:rPr>
          <w:t>https://sway.office.com/LyrW5ODF2Ys7gkFH?ref=Link</w:t>
        </w:r>
      </w:hyperlink>
      <w:r>
        <w:rPr>
          <w:rFonts w:cs="Arial" w:ascii="Arial" w:hAnsi="Arial"/>
          <w:b/>
          <w:bCs/>
          <w:color w:val="333333"/>
          <w:u w:val="single"/>
        </w:rPr>
        <w:t xml:space="preserve"> </w:t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</w:r>
      <w:r>
        <w:br w:type="page"/>
      </w:r>
    </w:p>
    <w:p>
      <w:pPr>
        <w:pStyle w:val="NormalWeb"/>
        <w:spacing w:lineRule="atLeast" w:line="300" w:before="0" w:after="375"/>
        <w:rPr>
          <w:rFonts w:ascii="Arial" w:hAnsi="Arial" w:cs="Arial"/>
          <w:b/>
          <w:b/>
          <w:bCs/>
          <w:color w:val="333333"/>
          <w:u w:val="single"/>
        </w:rPr>
      </w:pPr>
      <w:r>
        <w:rPr>
          <w:rFonts w:cs="Arial" w:ascii="Arial" w:hAnsi="Arial"/>
          <w:b/>
          <w:bCs/>
          <w:color w:val="333333"/>
          <w:u w:val="single"/>
        </w:rPr>
        <w:t xml:space="preserve">Exercício – Identifique as eras considerando o texto proposto. 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9203"/>
        <w:gridCol w:w="570"/>
      </w:tblGrid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20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20"/>
              </w:rPr>
              <w:t>N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20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20"/>
              </w:rPr>
              <w:t xml:space="preserve">TEXTO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20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20"/>
              </w:rPr>
              <w:t>ERA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O gargalo que passou a ser a inspeção foi logo eliminado. O número de inspetores foi reduzido e a qualidade melhorada.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2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Surgia, igualmente com destaque, a Qualidade Total e a filosofia de Zero Defeito, ambas desenvolvidas fortemente no Japão.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3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3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Havia necessidade de aumentar a produção de armamento através da pulverização de vários fornecedores, e com isto, a necessidade de padrões foi mais exigida para que os níveis de qualidade fossem mais aceitáveis.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4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Incentivou-se o treinamento do pessoal na área de Controle de Qualidade e vários outros segmentos da indústria passa a disseminar as novas técnicas, embora os conceitos de estatísticas eram ainda considerados como novidade.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5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Em 1940 o Controle de Qualidade estava estabelecido como disciplina reconhecida com métodos estatísticos dirigidos à fabricação. Assim permaneceu até que, na década de 60, surgia a Era da Garantia da Qualidade.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6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inspeção em 100% era deficiente para separar os produtos considerados bons para aqueles considerados como maus. De acordo com tabelas de amostragens, iriam ser inspecionados apenas um pequeno lote do total produzido, e sua aceitação ou não seria função do número de materiais defeituosos encontrados no lote.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7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aplicação destes conceitos melhorou em muito a qualidade e os custos tiveram redução considerável O impacto da Segunda guerra mundial trouxe maior aceitação ao Controle Estatístico da Qualidade.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8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atividade de Serviços também já demonstrava preocupações com os aspectos de melhor satisfazer a seus clientes.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3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9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Nos séculos XVIII e XIX, toda produção era feita por artesãos que fabricavam os seus produtos de acordo como desejo pessoal dos clientes, manifestados pelo contato direto que então havia.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10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Pelo gráfico do Controle Estatístico de Processo estariam sendo visualizadas as causas anormais de variação, daquelas inerentes a um processo de produção.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11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As dúvidas sobre a Qualidade eram resolvidas na hora. O artesão conhecia o seu cliente.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12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O que é aplicável a uma Empresa poderá não ser indicado a outra. A literatura é farta em exemplos desta natureza, citando apenas para enriquecer, os casos ocorridos com a Hewlett - Packard , Xerox e a Coming Glass que são representativos dos esforços de outras grandes Empresas norte-americanas, com seus programas enquadrados como Gestão Estratégica da Qualidade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13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produção em pequenas quantidades feitas desta forma artesanal, permitia a aproximação e imperava a informalidade.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14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Gestão Estratégica da Qualidade é mais uma extensão das suas antecessoras do que uma negação delas, porém num aspecto muito mais amplo.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15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O processo estaria sob controle sempre que se mantivesse dentro dos limites inferior e superior de aceitação.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2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16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Qualidade passou a ser incluída no Planejamento Estratégico das Empresas, apresentando metas específicas para a melhoria da Qualidade, sem perder, no entanto, o conteúdo oriundo dos movimentos que precederam a esta Era.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17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Alguns artesãos mais capazes, tiveram maior procura para os seus produtos e passaram a contratar empregados e aprendizes para dar conta ao aumento de demanda e com isto já apareciam as organizações, inicialmente de pequenas dimensões.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18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 necessidade de triar os projetos antes de entrarem na produção era reforçada, e outras utilizadas nos movimentos anteriores.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19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Não existe um único modelo de Gestão Estratégica da Qualidade, pois as Empresas têm necessidades diferentes que exigem atenções também diversas.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20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As produções foram aumentando com os pedidos crescentes, a mão de obra foi crescendo e a qualificação mais exigida.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1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21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O objetivo passa a ser melhorar a confiabilidade e reduzir a taxa de falhas.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3</w:t>
            </w:r>
          </w:p>
        </w:tc>
      </w:tr>
      <w:tr>
        <w:trPr/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16"/>
                <w:szCs w:val="16"/>
              </w:rPr>
              <w:t>22</w:t>
            </w:r>
          </w:p>
        </w:tc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Surgia, então, a necessidade de educação e treinamento de todos os envolvidos de uma forma aprimorada e dirigida aos novos rumos que a organização se propunha a seguir, dentro desta nova Era que aparecia.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0000"/>
              </w:rPr>
            </w:pPr>
            <w:r>
              <w:rPr>
                <w:rFonts w:cs="Arial" w:ascii="Arial" w:hAnsi="Arial"/>
                <w:b/>
                <w:bCs/>
                <w:color w:val="FF0000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gutter="0" w:header="709" w:top="1854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Fluffy Slacks BTN">
    <w:charset w:val="01"/>
    <w:family w:val="swiss"/>
    <w:pitch w:val="default"/>
  </w:font>
  <w:font w:name="Open Sans">
    <w:charset w:val="01"/>
    <w:family w:val="auto"/>
    <w:pitch w:val="default"/>
  </w:font>
  <w:font w:name="Bank Gothic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g">
          <w:drawing>
            <wp:anchor behindDoc="1" distT="1270" distB="0" distL="635" distR="0" simplePos="0" locked="0" layoutInCell="0" allowOverlap="1" relativeHeight="5">
              <wp:simplePos x="0" y="0"/>
              <wp:positionH relativeFrom="column">
                <wp:posOffset>-544195</wp:posOffset>
              </wp:positionH>
              <wp:positionV relativeFrom="paragraph">
                <wp:posOffset>2540</wp:posOffset>
              </wp:positionV>
              <wp:extent cx="7706995" cy="771525"/>
              <wp:effectExtent l="635" t="1270" r="0" b="0"/>
              <wp:wrapNone/>
              <wp:docPr id="2" name="Agrupar 3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06880" cy="771480"/>
                        <a:chOff x="0" y="0"/>
                        <a:chExt cx="7706880" cy="771480"/>
                      </a:xfrm>
                    </wpg:grpSpPr>
                    <wps:wsp>
                      <wps:cNvSpPr/>
                      <wps:spPr>
                        <a:xfrm>
                          <a:off x="0" y="374040"/>
                          <a:ext cx="6696000" cy="397440"/>
                        </a:xfrm>
                        <a:prstGeom prst="rect">
                          <a:avLst/>
                        </a:prstGeom>
                        <a:solidFill>
                          <a:srgbClr val="54b0be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5617080" y="58320"/>
                          <a:ext cx="2089800" cy="713160"/>
                        </a:xfrm>
                      </wpg:grpSpPr>
                      <wps:wsp>
                        <wps:cNvSpPr/>
                        <wps:spPr>
                          <a:xfrm>
                            <a:off x="201960" y="0"/>
                            <a:ext cx="1887840" cy="713160"/>
                          </a:xfrm>
                          <a:prstGeom prst="rect">
                            <a:avLst/>
                          </a:prstGeom>
                          <a:solidFill>
                            <a:srgbClr val="093455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0"/>
                            <a:ext cx="198000" cy="313560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230400" y="17280"/>
                          <a:ext cx="598320" cy="313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20" cy="313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93455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Gráfico 17" descr="Email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87840" y="16920"/>
                            <a:ext cx="423000" cy="279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850320" y="84600"/>
                          <a:ext cx="2161440" cy="22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16"/>
                                <w:spacing w:val="0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6"/>
                                <w:rFonts w:eastAsia="Open Sans" w:cs="Open Sans" w:ascii="Open Sans" w:hAnsi="Open Sans"/>
                                <w:color w:val="54B0BE"/>
                                <w:lang w:val="pt-BR"/>
                              </w:rPr>
                              <w:t>Jadir.santos@fatec.sp.gov.br</w:t>
                            </w:r>
                          </w:p>
                        </w:txbxContent>
                      </wps:txbx>
                      <wps:bodyPr lIns="90000" rIns="90000" tIns="228960" bIns="22896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3061800" y="0"/>
                          <a:ext cx="598320" cy="313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20" cy="313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93455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Gráfico 24" descr="Sala de aula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42560" y="17280"/>
                            <a:ext cx="314280" cy="279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3619440" y="108720"/>
                          <a:ext cx="1997640" cy="22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16"/>
                                <w:spacing w:val="0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6"/>
                                <w:rFonts w:eastAsia="Open Sans" w:cs="Open Sans" w:ascii="Open Sans" w:hAnsi="Open Sans"/>
                                <w:color w:val="54B0BE"/>
                                <w:lang w:val="pt-BR"/>
                              </w:rPr>
                              <w:t>Tecnologia em Gestão Empresarial</w:t>
                            </w:r>
                          </w:p>
                        </w:txbxContent>
                      </wps:txbx>
                      <wps:bodyPr lIns="90000" rIns="90000" tIns="228960" bIns="22896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Agrupar 34" style="position:absolute;margin-left:-42.85pt;margin-top:0.2pt;width:606.8pt;height:60.75pt" coordorigin="-857,4" coordsize="12136,1215">
              <v:rect id="shape_0" path="m0,0l-2147483645,0l-2147483645,-2147483646l0,-2147483646xe" fillcolor="#54b0be" stroked="f" o:allowincell="f" style="position:absolute;left:-857;top:593;width:10544;height:625;mso-wrap-style:none;v-text-anchor:middle">
                <v:fill o:detectmouseclick="t" type="solid" color2="#ab4f41"/>
                <v:stroke color="#3465a4" weight="12600" joinstyle="round" endcap="flat"/>
                <w10:wrap type="none"/>
              </v:rect>
              <v:group id="shape_0" style="position:absolute;left:7989;top:96;width:3291;height:1123">
                <v:rect id="shape_0" path="m0,0l-2147483645,0l-2147483645,-2147483646l0,-2147483646xe" fillcolor="#093455" stroked="f" o:allowincell="f" style="position:absolute;left:8307;top:96;width:2972;height:1122;mso-wrap-style:none;v-text-anchor:middle">
                  <v:fill o:detectmouseclick="t" type="solid" color2="#f6cbaa"/>
                  <v:stroke color="#3465a4" weight="12600" joinstyle="round" endcap="flat"/>
                  <w10:wrap type="none"/>
                </v:rect>
                <v:shape id="shape_0" path="l0,0l-2147483639,-2147483641xe" fillcolor="black" stroked="f" o:allowincell="f" style="position:absolute;left:7989;top:96;width:311;height:493;flip:x;mso-wrap-style:none;v-text-anchor:middle" type="_x0000_t6">
                  <v:fill o:detectmouseclick="t" type="solid" color2="white"/>
                  <v:stroke color="#3465a4" weight="12600" joinstyle="round" endcap="flat"/>
                  <w10:wrap type="none"/>
                </v:shape>
              </v:group>
              <v:group id="shape_0" style="position:absolute;left:-494;top:31;width:942;height:494">
                <v:shape id="shape_0" ID="Gráfico 17" stroked="f" o:allowincell="f" style="position:absolute;left:-356;top:58;width:665;height:439;mso-wrap-style:none;v-text-anchor:middle" type="_x0000_t75">
                  <v:imagedata r:id="rId1" o:detectmouseclick="t"/>
                  <v:stroke color="#3465a4" joinstyle="round" endcap="flat"/>
                  <w10:wrap type="none"/>
                </v:shape>
              </v:group>
              <v:rect id="shape_0" path="m0,0l-2147483645,0l-2147483645,-2147483646l0,-2147483646xe" stroked="f" o:allowincell="f" style="position:absolute;left:482;top:137;width:3403;height:358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16"/>
                          <w:spacing w:val="0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/>
                          <w:sz w:val="16"/>
                          <w:rFonts w:eastAsia="Open Sans" w:cs="Open Sans" w:ascii="Open Sans" w:hAnsi="Open Sans"/>
                          <w:color w:val="54B0BE"/>
                          <w:lang w:val="pt-BR"/>
                        </w:rPr>
                        <w:t>Jadir.santos@fatec.sp.gov.br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style="position:absolute;left:3965;top:4;width:942;height:494">
                <v:shape id="shape_0" ID="Gráfico 24" stroked="f" o:allowincell="f" style="position:absolute;left:4189;top:31;width:494;height:439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  <v:rect id="shape_0" path="m0,0l-2147483645,0l-2147483645,-2147483646l0,-2147483646xe" stroked="f" o:allowincell="f" style="position:absolute;left:4843;top:175;width:3145;height:358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16"/>
                          <w:spacing w:val="0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/>
                          <w:sz w:val="16"/>
                          <w:rFonts w:eastAsia="Open Sans" w:cs="Open Sans" w:ascii="Open Sans" w:hAnsi="Open Sans"/>
                          <w:color w:val="54B0BE"/>
                          <w:lang w:val="pt-BR"/>
                        </w:rPr>
                        <w:t>Tecnologia em Gestão Empresarial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8">
              <wp:simplePos x="0" y="0"/>
              <wp:positionH relativeFrom="column">
                <wp:posOffset>5522595</wp:posOffset>
              </wp:positionH>
              <wp:positionV relativeFrom="paragraph">
                <wp:posOffset>86995</wp:posOffset>
              </wp:positionV>
              <wp:extent cx="1456055" cy="533400"/>
              <wp:effectExtent l="635" t="0" r="0" b="0"/>
              <wp:wrapNone/>
              <wp:docPr id="3" name="Caixa de Texto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6200" cy="533520"/>
                      </a:xfrm>
                      <a:prstGeom prst="rect">
                        <a:avLst/>
                      </a:prstGeom>
                      <a:solidFill>
                        <a:srgbClr val="083455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Bank Gothic" w:hAnsi="Bank Gothic"/>
                              <w:color w:val="000000"/>
                            </w:rPr>
                          </w:pPr>
                          <w:r>
                            <w:rPr>
                              <w:rFonts w:ascii="Bank Gothic" w:hAnsi="Bank Gothic"/>
                              <w:color w:val="000000"/>
                            </w:rPr>
                            <w:t>Estudo de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ascii="Bank Gothic" w:hAnsi="Bank Gothic"/>
                              <w:color w:val="000000"/>
                              <w:sz w:val="48"/>
                              <w:szCs w:val="48"/>
                            </w:rPr>
                            <w:t>CASO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5" path="m0,0l-2147483645,0l-2147483645,-2147483646l0,-2147483646xe" fillcolor="#083455" stroked="f" o:allowincell="f" style="position:absolute;margin-left:434.85pt;margin-top:6.85pt;width:114.6pt;height:41.95pt;mso-wrap-style:square;v-text-anchor:top">
              <v:fill o:detectmouseclick="t" type="solid" color2="#f7cbaa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rFonts w:ascii="Bank Gothic" w:hAnsi="Bank Gothic"/>
                        <w:color w:val="000000"/>
                      </w:rPr>
                    </w:pPr>
                    <w:r>
                      <w:rPr>
                        <w:rFonts w:ascii="Bank Gothic" w:hAnsi="Bank Gothic"/>
                        <w:color w:val="000000"/>
                      </w:rPr>
                      <w:t>Estudo de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ascii="Bank Gothic" w:hAnsi="Bank Gothic"/>
                        <w:color w:val="000000"/>
                        <w:sz w:val="48"/>
                        <w:szCs w:val="48"/>
                      </w:rPr>
                      <w:t>CASO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g">
          <w:drawing>
            <wp:anchor behindDoc="1" distT="635" distB="0" distL="635" distR="0" simplePos="0" locked="0" layoutInCell="0" allowOverlap="1" relativeHeight="3">
              <wp:simplePos x="0" y="0"/>
              <wp:positionH relativeFrom="column">
                <wp:posOffset>-544830</wp:posOffset>
              </wp:positionH>
              <wp:positionV relativeFrom="paragraph">
                <wp:posOffset>-464820</wp:posOffset>
              </wp:positionV>
              <wp:extent cx="8084820" cy="977900"/>
              <wp:effectExtent l="635" t="635" r="0" b="0"/>
              <wp:wrapNone/>
              <wp:docPr id="1" name="Agrupar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4880" cy="977760"/>
                        <a:chOff x="0" y="0"/>
                        <a:chExt cx="8084880" cy="9777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8084880" cy="97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98200" cy="972720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13680" y="0"/>
                            <a:ext cx="3571200" cy="711720"/>
                          </a:xfrm>
                          <a:prstGeom prst="rect">
                            <a:avLst/>
                          </a:prstGeom>
                          <a:solidFill>
                            <a:srgbClr val="54b0be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104000" y="0"/>
                            <a:ext cx="407160" cy="711720"/>
                          </a:xfrm>
                          <a:prstGeom prst="rtTriangle">
                            <a:avLst/>
                          </a:prstGeom>
                          <a:solidFill>
                            <a:srgbClr val="54b0be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49400">
                            <a:off x="4177800" y="547200"/>
                            <a:ext cx="277560" cy="4579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c8291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0" name="Imagem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190520" y="48240"/>
                          <a:ext cx="1415880" cy="813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4337640" y="153000"/>
                          <a:ext cx="3451320" cy="40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30"/>
                                <w:spacing w:val="0"/>
                                <w:vertAlign w:val="baseline"/>
                                <w:position w:val="0"/>
                                <w:sz w:val="3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30"/>
                                <w:rFonts w:eastAsia="Open Sans" w:cs="Open Sans" w:ascii="Open Sans" w:hAnsi="Open Sans"/>
                                <w:color w:val="FFFFFF"/>
                                <w:lang w:val="pt-BR"/>
                              </w:rPr>
                              <w:t>Fund. da Gestão da Qualidade</w:t>
                            </w:r>
                          </w:p>
                        </w:txbxContent>
                      </wps:txbx>
                      <wps:bodyPr lIns="90000" rIns="90000" tIns="401040" bIns="40104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Agrupar 33" style="position:absolute;margin-left:-42.9pt;margin-top:-36.6pt;width:636.65pt;height:79.1pt" coordorigin="-858,-732" coordsize="12733,1582">
              <v:group id="shape_0" style="position:absolute;left:-858;top:-732;width:12733;height:1582">
                <v:rect id="shape_0" path="m0,0l-2147483645,0l-2147483645,-2147483646l0,-2147483646xe" fillcolor="#c9c9c9" stroked="f" o:allowincell="f" style="position:absolute;left:-858;top:-732;width:7083;height:1531;mso-wrap-style:none;v-text-anchor:middle">
                  <v:fill o:detectmouseclick="t" type="solid" color2="#363636"/>
                  <v:stroke color="#3465a4" weight="12600" joinstyle="round" endcap="flat"/>
                  <w10:wrap type="none"/>
                </v:rect>
                <v:rect id="shape_0" path="m0,0l-2147483645,0l-2147483645,-2147483646l0,-2147483646xe" fillcolor="#54b0be" stroked="f" o:allowincell="f" style="position:absolute;left:6250;top:-732;width:5623;height:1120;mso-wrap-style:none;v-text-anchor:middle">
                  <v:fill o:detectmouseclick="t" type="solid" color2="#ab4f41"/>
                  <v:stroke color="#3465a4" weight="12600" joinstyle="round" endcap="flat"/>
                  <w10:wrap type="none"/>
                </v:rect>
                <v:shapetype id="_x0000_t6" coordsize="21600,21600" o:spt="6" path="m,21600l,l21600,21600xe">
                  <v:stroke joinstyle="miter"/>
                  <v:formulas>
                    <v:f eqn="prod height 7 12"/>
                    <v:f eqn="prod width 7 12"/>
                    <v:f eqn="prod height 11 12"/>
                  </v:formulas>
                  <v:path gradientshapeok="t" o:connecttype="rect" textboxrect="1800,@0,@1,@2"/>
                </v:shapetype>
                <v:shape id="shape_0" path="l0,0l-2147483639,-2147483641xe" fillcolor="#54b0be" stroked="f" o:allowincell="f" style="position:absolute;left:5605;top:-732;width:640;height:1120;flip:x;mso-wrap-style:none;v-text-anchor:middle" type="_x0000_t6">
                  <v:fill o:detectmouseclick="t" type="solid" color2="#ab4f41"/>
                  <v:stroke color="#3465a4" weight="12600" joinstyle="round" endcap="flat"/>
                  <w10:wrap type="none"/>
                </v:shape>
                <v:shapetype id="_x0000_t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path="l-2147483641,0l-2147483635,-2147483636xe" fillcolor="#3c8291" stroked="f" o:allowincell="f" style="position:absolute;left:5722;top:131;width:436;height:720;mso-wrap-style:none;v-text-anchor:middle;rotation:287" type="_x0000_t5">
                  <v:fill o:detectmouseclick="t" type="solid" color2="#c37d6e"/>
                  <v:stroke color="#3465a4" weight="12600" joinstyle="round" endcap="flat"/>
                  <w10:wrap type="none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f" o:allowincell="f" style="position:absolute;left:1017;top:-656;width:2229;height:1281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  <v:rect id="shape_0" path="m0,0l-2147483645,0l-2147483645,-2147483646l0,-2147483646xe" stroked="f" o:allowincell="f" style="position:absolute;left:5973;top:-491;width:5434;height:630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30"/>
                          <w:spacing w:val="0"/>
                          <w:vertAlign w:val="baseline"/>
                          <w:position w:val="0"/>
                          <w:sz w:val="30"/>
                          <w:i w:val="false"/>
                          <w:dstrike w:val="false"/>
                          <w:strike w:val="false"/>
                          <w:u w:val="none"/>
                          <w:b/>
                          <w:sz w:val="30"/>
                          <w:rFonts w:eastAsia="Open Sans" w:cs="Open Sans" w:ascii="Open Sans" w:hAnsi="Open Sans"/>
                          <w:color w:val="FFFFFF"/>
                          <w:lang w:val="pt-BR"/>
                        </w:rPr>
                        <w:t>Fund. da Gestão da Qualidade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Nastaliq Urdu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PT" w:eastAsia="en-US" w:bidi="ar-SA"/>
    </w:rPr>
  </w:style>
  <w:style w:type="paragraph" w:styleId="Ttulo9">
    <w:name w:val="Heading 9"/>
    <w:basedOn w:val="Normal"/>
    <w:next w:val="Normal"/>
    <w:link w:val="Ttulo9Char"/>
    <w:qFormat/>
    <w:pPr>
      <w:keepNext w:val="true"/>
      <w:jc w:val="center"/>
      <w:outlineLvl w:val="8"/>
    </w:pPr>
    <w:rPr>
      <w:rFonts w:ascii="Arial" w:hAnsi="Arial" w:cs="Arial"/>
      <w:sz w:val="32"/>
      <w:lang w:val="pt-BR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CorpodetextoChar">
    <w:name w:val="Corpo de texto Char"/>
    <w:basedOn w:val="DefaultParagraphFont"/>
    <w:qFormat/>
    <w:rPr>
      <w:rFonts w:ascii="Times New Roman" w:hAnsi="Times New Roman" w:eastAsia="Times New Roman" w:cs="Times New Roman"/>
      <w:lang w:eastAsia="pt-BR"/>
    </w:rPr>
  </w:style>
  <w:style w:type="character" w:styleId="Recuodecorpodetexto3Char">
    <w:name w:val="Recuo de corpo de texto 3 Char"/>
    <w:basedOn w:val="DefaultParagraphFont"/>
    <w:link w:val="BodyTextIndent3"/>
    <w:qFormat/>
    <w:rPr>
      <w:sz w:val="16"/>
      <w:szCs w:val="16"/>
    </w:rPr>
  </w:style>
  <w:style w:type="character" w:styleId="Recuodecorpodetexto2Char">
    <w:name w:val="Recuo de corpo de texto 2 Char"/>
    <w:basedOn w:val="DefaultParagraphFont"/>
    <w:link w:val="BodyTextIndent2"/>
    <w:qFormat/>
    <w:rPr/>
  </w:style>
  <w:style w:type="character" w:styleId="RecuodecorpodetextoChar">
    <w:name w:val="Recuo de corpo de texto Char"/>
    <w:basedOn w:val="DefaultParagraphFont"/>
    <w:qFormat/>
    <w:rPr/>
  </w:style>
  <w:style w:type="character" w:styleId="Ttulo9Char">
    <w:name w:val="Título 9 Char"/>
    <w:basedOn w:val="DefaultParagraphFont"/>
    <w:qFormat/>
    <w:rPr>
      <w:rFonts w:ascii="Arial" w:hAnsi="Arial" w:eastAsia="Times New Roman" w:cs="Arial"/>
      <w:sz w:val="32"/>
      <w:szCs w:val="20"/>
    </w:rPr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link w:val="CorpodetextoChar"/>
    <w:pPr>
      <w:jc w:val="both"/>
    </w:pPr>
    <w:rPr>
      <w:sz w:val="24"/>
      <w:szCs w:val="24"/>
      <w:lang w:val="pt-BR" w:eastAsia="pt-BR"/>
    </w:rPr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Noto Nastaliq Urdu"/>
      <w:sz w:val="24"/>
      <w:szCs w:val="24"/>
      <w:lang w:val="pt-BR"/>
    </w:rPr>
  </w:style>
  <w:style w:type="paragraph" w:styleId="Rodap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Noto Nastaliq Urdu"/>
      <w:sz w:val="24"/>
      <w:szCs w:val="24"/>
      <w:lang w:val="pt-BR"/>
    </w:rPr>
  </w:style>
  <w:style w:type="paragraph" w:styleId="BodyTextIndent3">
    <w:name w:val="Body Text Indent 3"/>
    <w:basedOn w:val="Normal"/>
    <w:link w:val="Recuodecorpodetexto3Char"/>
    <w:qFormat/>
    <w:pPr>
      <w:spacing w:before="0" w:after="120"/>
      <w:ind w:left="283" w:right="0" w:hanging="0"/>
    </w:pPr>
    <w:rPr>
      <w:rFonts w:ascii="Calibri" w:hAnsi="Calibri" w:eastAsia="Calibri" w:cs="Noto Nastaliq Urdu"/>
      <w:sz w:val="16"/>
      <w:szCs w:val="16"/>
      <w:lang w:val="pt-BR"/>
    </w:rPr>
  </w:style>
  <w:style w:type="paragraph" w:styleId="BodyTextIndent2">
    <w:name w:val="Body Text Indent 2"/>
    <w:basedOn w:val="Normal"/>
    <w:link w:val="Recuodecorpodetexto2Char"/>
    <w:qFormat/>
    <w:pPr>
      <w:spacing w:lineRule="auto" w:line="480" w:before="0" w:after="120"/>
      <w:ind w:left="283" w:right="0" w:hanging="0"/>
    </w:pPr>
    <w:rPr>
      <w:rFonts w:ascii="Calibri" w:hAnsi="Calibri" w:eastAsia="Calibri" w:cs="Noto Nastaliq Urdu"/>
      <w:sz w:val="24"/>
      <w:szCs w:val="24"/>
      <w:lang w:val="pt-BR"/>
    </w:rPr>
  </w:style>
  <w:style w:type="paragraph" w:styleId="Corpodotextorecuado">
    <w:name w:val="Body Text Indent"/>
    <w:basedOn w:val="Normal"/>
    <w:link w:val="RecuodecorpodetextoChar"/>
    <w:pPr>
      <w:spacing w:before="0" w:after="120"/>
      <w:ind w:left="283" w:right="0" w:hanging="0"/>
    </w:pPr>
    <w:rPr>
      <w:rFonts w:ascii="Calibri" w:hAnsi="Calibri" w:eastAsia="Calibri" w:cs="Noto Nastaliq Urdu"/>
      <w:sz w:val="24"/>
      <w:szCs w:val="24"/>
      <w:lang w:val="pt-BR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eastAsia="MS Mincho"/>
      <w:lang w:val="pt-BR" w:eastAsia="es-E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way.office.com/LyrW5ODF2Ys7gkFH?ref=Link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LibreOffice/7.3.5.2$Linux_X86_64 LibreOffice_project/30$Build-2</Application>
  <AppVersion>15.0000</AppVersion>
  <Pages>2</Pages>
  <Words>1095</Words>
  <Characters>5681</Characters>
  <CharactersWithSpaces>6699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2022-01-20T21:10:00Z</dcterms:created>
  <dc:creator>Jadir P. dos Santos</dc:creator>
  <dc:description/>
  <dc:language>pt-BR</dc:language>
  <cp:lastModifiedBy/>
  <cp:lastPrinted>2022-01-31T21:12:00Z</cp:lastPrinted>
  <dcterms:modified xsi:type="dcterms:W3CDTF">2022-09-02T15:55:16Z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0x01010030C5653953865A4EA59F28F6ED33BDDD</vt:lpwstr>
  </property>
</Properties>
</file>