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16F3" w14:textId="77777777" w:rsidR="00DA152D" w:rsidRPr="00DA152D" w:rsidRDefault="00DA152D" w:rsidP="00DA152D">
      <w:pPr>
        <w:spacing w:after="0" w:line="300" w:lineRule="atLeast"/>
        <w:rPr>
          <w:rFonts w:ascii="Times New Roman" w:eastAsia="Times New Roman" w:hAnsi="Times New Roman" w:cs="Times New Roman"/>
          <w:b/>
          <w:bCs/>
          <w:kern w:val="0"/>
          <w14:ligatures w14:val="none"/>
        </w:rPr>
      </w:pPr>
      <w:r w:rsidRPr="00DA152D">
        <w:rPr>
          <w:rFonts w:ascii="Times New Roman" w:eastAsia="Times New Roman" w:hAnsi="Times New Roman" w:cs="Times New Roman"/>
          <w:b/>
          <w:bCs/>
          <w:kern w:val="0"/>
          <w14:ligatures w14:val="none"/>
        </w:rPr>
        <w:t xml:space="preserve">Optimizing Vancomycin Therapeutic Drug Monitoring: Monte Carlo Comparison of Analytical and Bayesian AUC Calculation Methods Using the </w:t>
      </w:r>
      <w:proofErr w:type="spellStart"/>
      <w:r w:rsidRPr="00DA152D">
        <w:rPr>
          <w:rFonts w:ascii="Times New Roman" w:eastAsia="Times New Roman" w:hAnsi="Times New Roman" w:cs="Times New Roman"/>
          <w:b/>
          <w:bCs/>
          <w:kern w:val="0"/>
          <w14:ligatures w14:val="none"/>
        </w:rPr>
        <w:t>Goti</w:t>
      </w:r>
      <w:proofErr w:type="spellEnd"/>
      <w:r w:rsidRPr="00DA152D">
        <w:rPr>
          <w:rFonts w:ascii="Times New Roman" w:eastAsia="Times New Roman" w:hAnsi="Times New Roman" w:cs="Times New Roman"/>
          <w:b/>
          <w:bCs/>
          <w:kern w:val="0"/>
          <w14:ligatures w14:val="none"/>
        </w:rPr>
        <w:t xml:space="preserve"> Model</w:t>
      </w:r>
    </w:p>
    <w:p w14:paraId="1B25B129" w14:textId="7F5E3C0C" w:rsidR="0019325F" w:rsidRDefault="0019325F" w:rsidP="00836144">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Marshall A Pierce</w:t>
      </w:r>
      <w:r w:rsidR="003D5C70">
        <w:rPr>
          <w:rFonts w:ascii="Times New Roman" w:eastAsia="Times New Roman" w:hAnsi="Times New Roman" w:cs="Times New Roman"/>
          <w:b/>
          <w:bCs/>
          <w:kern w:val="0"/>
          <w14:ligatures w14:val="none"/>
        </w:rPr>
        <w:t xml:space="preserve"> PharmD</w:t>
      </w:r>
      <w:r>
        <w:rPr>
          <w:rFonts w:ascii="Times New Roman" w:eastAsia="Times New Roman" w:hAnsi="Times New Roman" w:cs="Times New Roman"/>
          <w:b/>
          <w:bCs/>
          <w:kern w:val="0"/>
          <w14:ligatures w14:val="none"/>
        </w:rPr>
        <w:t>, Neil Davis</w:t>
      </w:r>
      <w:r w:rsidR="003D5C70">
        <w:rPr>
          <w:rFonts w:ascii="Times New Roman" w:eastAsia="Times New Roman" w:hAnsi="Times New Roman" w:cs="Times New Roman"/>
          <w:b/>
          <w:bCs/>
          <w:kern w:val="0"/>
          <w14:ligatures w14:val="none"/>
        </w:rPr>
        <w:t xml:space="preserve"> PharmD</w:t>
      </w:r>
      <w:r>
        <w:rPr>
          <w:rFonts w:ascii="Times New Roman" w:eastAsia="Times New Roman" w:hAnsi="Times New Roman" w:cs="Times New Roman"/>
          <w:b/>
          <w:bCs/>
          <w:kern w:val="0"/>
          <w14:ligatures w14:val="none"/>
        </w:rPr>
        <w:t>, Josh Crawford</w:t>
      </w:r>
      <w:r w:rsidR="003D5C70">
        <w:rPr>
          <w:rFonts w:ascii="Times New Roman" w:eastAsia="Times New Roman" w:hAnsi="Times New Roman" w:cs="Times New Roman"/>
          <w:b/>
          <w:bCs/>
          <w:kern w:val="0"/>
          <w14:ligatures w14:val="none"/>
        </w:rPr>
        <w:t xml:space="preserve"> PharmD</w:t>
      </w:r>
      <w:r>
        <w:rPr>
          <w:rFonts w:ascii="Times New Roman" w:eastAsia="Times New Roman" w:hAnsi="Times New Roman" w:cs="Times New Roman"/>
          <w:b/>
          <w:bCs/>
          <w:kern w:val="0"/>
          <w14:ligatures w14:val="none"/>
        </w:rPr>
        <w:t>, Dan Miller</w:t>
      </w:r>
      <w:r w:rsidR="003D5C70">
        <w:rPr>
          <w:rFonts w:ascii="Times New Roman" w:eastAsia="Times New Roman" w:hAnsi="Times New Roman" w:cs="Times New Roman"/>
          <w:b/>
          <w:bCs/>
          <w:kern w:val="0"/>
          <w14:ligatures w14:val="none"/>
        </w:rPr>
        <w:t xml:space="preserve"> PharmD</w:t>
      </w:r>
      <w:r>
        <w:rPr>
          <w:rFonts w:ascii="Times New Roman" w:eastAsia="Times New Roman" w:hAnsi="Times New Roman" w:cs="Times New Roman"/>
          <w:b/>
          <w:bCs/>
          <w:kern w:val="0"/>
          <w14:ligatures w14:val="none"/>
        </w:rPr>
        <w:t xml:space="preserve">, Rachel </w:t>
      </w:r>
      <w:r w:rsidR="003D5C70">
        <w:rPr>
          <w:rFonts w:ascii="Times New Roman" w:eastAsia="Times New Roman" w:hAnsi="Times New Roman" w:cs="Times New Roman"/>
          <w:b/>
          <w:bCs/>
          <w:kern w:val="0"/>
          <w14:ligatures w14:val="none"/>
        </w:rPr>
        <w:t>Perry PharmD</w:t>
      </w:r>
    </w:p>
    <w:p w14:paraId="3277D983" w14:textId="24A425F5"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w:t>
      </w:r>
      <w:r w:rsidRPr="00836144">
        <w:rPr>
          <w:rFonts w:ascii="Times New Roman" w:eastAsia="Times New Roman" w:hAnsi="Times New Roman" w:cs="Times New Roman"/>
          <w:b/>
          <w:bCs/>
          <w:kern w:val="0"/>
          <w14:ligatures w14:val="none"/>
        </w:rPr>
        <w:t>bstract</w:t>
      </w:r>
      <w:r w:rsidRPr="00836144">
        <w:rPr>
          <w:rFonts w:ascii="Times New Roman" w:eastAsia="Times New Roman" w:hAnsi="Times New Roman" w:cs="Times New Roman"/>
          <w:kern w:val="0"/>
          <w14:ligatures w14:val="none"/>
        </w:rPr>
        <w:br/>
        <w:t xml:space="preserve">Introduction: Current consensus guidelines for vancomycin dosing emphasize optimizing efficacy while minimizing toxicity through AUC-guided monitoring, targeting an AUC/minimum inhibitory concentration (MIC) ratio of 400 to 600 </w:t>
      </w:r>
      <w:proofErr w:type="spellStart"/>
      <w:r w:rsidRPr="00836144">
        <w:rPr>
          <w:rFonts w:ascii="Times New Roman" w:eastAsia="Times New Roman" w:hAnsi="Times New Roman" w:cs="Times New Roman"/>
          <w:kern w:val="0"/>
          <w14:ligatures w14:val="none"/>
        </w:rPr>
        <w:t>mg·h</w:t>
      </w:r>
      <w:proofErr w:type="spellEnd"/>
      <w:r w:rsidRPr="00836144">
        <w:rPr>
          <w:rFonts w:ascii="Times New Roman" w:eastAsia="Times New Roman" w:hAnsi="Times New Roman" w:cs="Times New Roman"/>
          <w:kern w:val="0"/>
          <w14:ligatures w14:val="none"/>
        </w:rPr>
        <w:t xml:space="preserve">/L in patients with serious MRSA infections or those at high risk for nephrotoxicity. Recommended AUC monitoring approaches include the one-compartment model using analytic equations or Bayesian methods derived from richly sampled vancomycin pharmacokinetic data may be employed. Studies have investigated the agreement of first order analytic equations and two-compartment model Bayesian AUC calculation methods and their associated </w:t>
      </w:r>
      <w:r w:rsidR="0072181A" w:rsidRPr="00836144">
        <w:rPr>
          <w:rFonts w:ascii="Times New Roman" w:eastAsia="Times New Roman" w:hAnsi="Times New Roman" w:cs="Times New Roman"/>
          <w:kern w:val="0"/>
          <w14:ligatures w14:val="none"/>
        </w:rPr>
        <w:t>variability</w:t>
      </w:r>
      <w:r w:rsidRPr="00836144">
        <w:rPr>
          <w:rFonts w:ascii="Times New Roman" w:eastAsia="Times New Roman" w:hAnsi="Times New Roman" w:cs="Times New Roman"/>
          <w:kern w:val="0"/>
          <w14:ligatures w14:val="none"/>
        </w:rPr>
        <w:t xml:space="preserve"> from vancomycin serum level </w:t>
      </w:r>
      <w:r w:rsidR="00B633F5" w:rsidRPr="00836144">
        <w:rPr>
          <w:rFonts w:ascii="Times New Roman" w:eastAsia="Times New Roman" w:hAnsi="Times New Roman" w:cs="Times New Roman"/>
          <w:kern w:val="0"/>
          <w14:ligatures w14:val="none"/>
        </w:rPr>
        <w:t>data</w:t>
      </w:r>
      <w:r w:rsidR="00B633F5">
        <w:rPr>
          <w:rFonts w:ascii="Times New Roman" w:eastAsia="Times New Roman" w:hAnsi="Times New Roman" w:cs="Times New Roman"/>
          <w:kern w:val="0"/>
          <w14:ligatures w14:val="none"/>
        </w:rPr>
        <w:t xml:space="preserve"> but</w:t>
      </w:r>
      <w:r w:rsidRPr="00836144">
        <w:rPr>
          <w:rFonts w:ascii="Times New Roman" w:eastAsia="Times New Roman" w:hAnsi="Times New Roman" w:cs="Times New Roman"/>
          <w:kern w:val="0"/>
          <w14:ligatures w14:val="none"/>
        </w:rPr>
        <w:t xml:space="preserve"> have not compared the methods using known AUC values. </w:t>
      </w:r>
    </w:p>
    <w:p w14:paraId="10D78DC5" w14:textId="77777777" w:rsidR="00B633F5"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Objective: Our Monte Carlo study aimed to compare </w:t>
      </w:r>
      <w:r w:rsidR="00B633F5">
        <w:rPr>
          <w:rFonts w:ascii="Times New Roman" w:eastAsia="Times New Roman" w:hAnsi="Times New Roman" w:cs="Times New Roman"/>
          <w:kern w:val="0"/>
          <w14:ligatures w14:val="none"/>
        </w:rPr>
        <w:t xml:space="preserve">accuracy of </w:t>
      </w:r>
      <w:r w:rsidRPr="00836144">
        <w:rPr>
          <w:rFonts w:ascii="Times New Roman" w:eastAsia="Times New Roman" w:hAnsi="Times New Roman" w:cs="Times New Roman"/>
          <w:kern w:val="0"/>
          <w14:ligatures w14:val="none"/>
        </w:rPr>
        <w:t>AUC</w:t>
      </w:r>
      <w:r w:rsidR="00B633F5">
        <w:rPr>
          <w:rFonts w:ascii="Times New Roman" w:eastAsia="Times New Roman" w:hAnsi="Times New Roman" w:cs="Times New Roman"/>
          <w:kern w:val="0"/>
          <w14:ligatures w14:val="none"/>
        </w:rPr>
        <w:t xml:space="preserve"> estimates and overall agreement for </w:t>
      </w:r>
      <w:r w:rsidRPr="00836144">
        <w:rPr>
          <w:rFonts w:ascii="Times New Roman" w:eastAsia="Times New Roman" w:hAnsi="Times New Roman" w:cs="Times New Roman"/>
          <w:kern w:val="0"/>
          <w14:ligatures w14:val="none"/>
        </w:rPr>
        <w:t>one and two-compartment models using trough and peak-trough steady state levels with Bayesian and non-Bayesian techniques</w:t>
      </w:r>
      <w:r w:rsidR="00B633F5">
        <w:rPr>
          <w:rFonts w:ascii="Times New Roman" w:eastAsia="Times New Roman" w:hAnsi="Times New Roman" w:cs="Times New Roman"/>
          <w:kern w:val="0"/>
          <w14:ligatures w14:val="none"/>
        </w:rPr>
        <w:t xml:space="preserve"> when compared to the actual AUC of the </w:t>
      </w:r>
      <w:proofErr w:type="spellStart"/>
      <w:r w:rsidR="00B633F5">
        <w:rPr>
          <w:rFonts w:ascii="Times New Roman" w:eastAsia="Times New Roman" w:hAnsi="Times New Roman" w:cs="Times New Roman"/>
          <w:kern w:val="0"/>
          <w14:ligatures w14:val="none"/>
        </w:rPr>
        <w:t>Goti</w:t>
      </w:r>
      <w:proofErr w:type="spellEnd"/>
      <w:r w:rsidR="00B633F5">
        <w:rPr>
          <w:rFonts w:ascii="Times New Roman" w:eastAsia="Times New Roman" w:hAnsi="Times New Roman" w:cs="Times New Roman"/>
          <w:kern w:val="0"/>
          <w14:ligatures w14:val="none"/>
        </w:rPr>
        <w:t xml:space="preserve"> model.</w:t>
      </w:r>
    </w:p>
    <w:p w14:paraId="4915EDAB" w14:textId="2A688EE1"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Methods:</w:t>
      </w:r>
      <w:r w:rsidRPr="00836144">
        <w:rPr>
          <w:rFonts w:ascii="Times New Roman" w:eastAsia="Times New Roman" w:hAnsi="Times New Roman" w:cs="Times New Roman"/>
          <w:b/>
          <w:bCs/>
          <w:kern w:val="0"/>
          <w14:ligatures w14:val="none"/>
        </w:rPr>
        <w:t xml:space="preserve"> </w:t>
      </w:r>
      <w:r w:rsidRPr="00836144">
        <w:rPr>
          <w:rFonts w:ascii="Times New Roman" w:eastAsia="Times New Roman" w:hAnsi="Times New Roman" w:cs="Times New Roman"/>
          <w:kern w:val="0"/>
          <w14:ligatures w14:val="none"/>
        </w:rPr>
        <w:t xml:space="preserve">Pharmacokinetic analyses were performed using Monte Carlo simulations of the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model. True AUCs from the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simulations were compared to the AUCs fit for the analytic one-compartment model with a peak and trough, one-compartment fixed VD model with a trough, Bayesian one and two-compartment models using a trough and a peak and a trough. Methods were compared for AUC bias,</w:t>
      </w:r>
      <w:r w:rsidR="00237218">
        <w:rPr>
          <w:rFonts w:ascii="Times New Roman" w:eastAsia="Times New Roman" w:hAnsi="Times New Roman" w:cs="Times New Roman"/>
          <w:kern w:val="0"/>
          <w14:ligatures w14:val="none"/>
        </w:rPr>
        <w:t xml:space="preserve"> </w:t>
      </w:r>
      <w:r w:rsidRPr="00836144">
        <w:rPr>
          <w:rFonts w:ascii="Times New Roman" w:eastAsia="Times New Roman" w:hAnsi="Times New Roman" w:cs="Times New Roman"/>
          <w:kern w:val="0"/>
          <w14:ligatures w14:val="none"/>
        </w:rPr>
        <w:t xml:space="preserve">RMSE, 95% Confidence intervals, Pearson’s </w:t>
      </w:r>
      <w:r w:rsidR="0072181A" w:rsidRPr="00836144">
        <w:rPr>
          <w:rFonts w:ascii="Times New Roman" w:eastAsia="Times New Roman" w:hAnsi="Times New Roman" w:cs="Times New Roman"/>
          <w:kern w:val="0"/>
          <w14:ligatures w14:val="none"/>
        </w:rPr>
        <w:t>correlation, and</w:t>
      </w:r>
      <w:r w:rsidRPr="00836144">
        <w:rPr>
          <w:rFonts w:ascii="Times New Roman" w:eastAsia="Times New Roman" w:hAnsi="Times New Roman" w:cs="Times New Roman"/>
          <w:kern w:val="0"/>
          <w14:ligatures w14:val="none"/>
        </w:rPr>
        <w:t xml:space="preserve"> clinical decision agreement</w:t>
      </w:r>
      <w:r w:rsidR="00237218" w:rsidRPr="00237218">
        <w:rPr>
          <w:rFonts w:ascii="Times New Roman" w:eastAsia="Times New Roman" w:hAnsi="Times New Roman" w:cs="Times New Roman"/>
          <w:kern w:val="0"/>
          <w14:ligatures w14:val="none"/>
        </w:rPr>
        <w:t xml:space="preserve"> </w:t>
      </w:r>
      <w:r w:rsidR="00237218" w:rsidRPr="00836144">
        <w:rPr>
          <w:rFonts w:ascii="Times New Roman" w:eastAsia="Times New Roman" w:hAnsi="Times New Roman" w:cs="Times New Roman"/>
          <w:kern w:val="0"/>
          <w14:ligatures w14:val="none"/>
        </w:rPr>
        <w:t xml:space="preserve">by comparing the percentage of predicted AUC values that aligned with true AUC values within predefined brackets: &lt;400, 400 to 600, and &gt; 600 </w:t>
      </w:r>
      <w:proofErr w:type="spellStart"/>
      <w:r w:rsidR="00237218" w:rsidRPr="00836144">
        <w:rPr>
          <w:rFonts w:ascii="Times New Roman" w:eastAsia="Times New Roman" w:hAnsi="Times New Roman" w:cs="Times New Roman"/>
          <w:kern w:val="0"/>
          <w14:ligatures w14:val="none"/>
        </w:rPr>
        <w:t>mg·h</w:t>
      </w:r>
      <w:proofErr w:type="spellEnd"/>
      <w:r w:rsidR="00237218" w:rsidRPr="00836144">
        <w:rPr>
          <w:rFonts w:ascii="Times New Roman" w:eastAsia="Times New Roman" w:hAnsi="Times New Roman" w:cs="Times New Roman"/>
          <w:kern w:val="0"/>
          <w14:ligatures w14:val="none"/>
        </w:rPr>
        <w:t>/L.</w:t>
      </w:r>
    </w:p>
    <w:p w14:paraId="0E09815E" w14:textId="7A7DE4AA" w:rsidR="00BF3FCD" w:rsidRPr="00BF3FCD" w:rsidRDefault="00836144" w:rsidP="00BF3FCD">
      <w:pPr>
        <w:spacing w:line="300" w:lineRule="atLeast"/>
        <w:rPr>
          <w:rFonts w:ascii="Segoe UI" w:eastAsia="Times New Roman" w:hAnsi="Segoe UI" w:cs="Segoe UI"/>
          <w:kern w:val="0"/>
          <w:sz w:val="21"/>
          <w:szCs w:val="21"/>
          <w14:ligatures w14:val="none"/>
        </w:rPr>
      </w:pPr>
      <w:r w:rsidRPr="00836144">
        <w:rPr>
          <w:rFonts w:ascii="Times New Roman" w:eastAsia="Times New Roman" w:hAnsi="Times New Roman" w:cs="Times New Roman"/>
          <w:kern w:val="0"/>
          <w14:ligatures w14:val="none"/>
        </w:rPr>
        <w:t xml:space="preserve">Results: </w:t>
      </w:r>
      <w:r w:rsidR="00BF3FCD" w:rsidRPr="00BF3FCD">
        <w:rPr>
          <w:rFonts w:ascii="Times New Roman" w:eastAsia="Times New Roman" w:hAnsi="Times New Roman" w:cs="Times New Roman"/>
          <w:kern w:val="0"/>
          <w14:ligatures w14:val="none"/>
        </w:rPr>
        <w:t>Bayesian peak-trough methods</w:t>
      </w:r>
      <w:r w:rsidR="00890AB5">
        <w:rPr>
          <w:rFonts w:ascii="Times New Roman" w:eastAsia="Times New Roman" w:hAnsi="Times New Roman" w:cs="Times New Roman"/>
          <w:kern w:val="0"/>
          <w14:ligatures w14:val="none"/>
        </w:rPr>
        <w:t xml:space="preserve">, </w:t>
      </w:r>
      <w:r w:rsidR="00BF3FCD" w:rsidRPr="00BF3FCD">
        <w:rPr>
          <w:rFonts w:ascii="Times New Roman" w:eastAsia="Times New Roman" w:hAnsi="Times New Roman" w:cs="Times New Roman"/>
          <w:kern w:val="0"/>
          <w14:ligatures w14:val="none"/>
        </w:rPr>
        <w:t>both one- and two-compartment</w:t>
      </w:r>
      <w:r w:rsidR="00890AB5">
        <w:rPr>
          <w:rFonts w:ascii="Times New Roman" w:eastAsia="Times New Roman" w:hAnsi="Times New Roman" w:cs="Times New Roman"/>
          <w:kern w:val="0"/>
          <w14:ligatures w14:val="none"/>
        </w:rPr>
        <w:t xml:space="preserve">, </w:t>
      </w:r>
      <w:r w:rsidR="00BF3FCD" w:rsidRPr="00BF3FCD">
        <w:rPr>
          <w:rFonts w:ascii="Times New Roman" w:eastAsia="Times New Roman" w:hAnsi="Times New Roman" w:cs="Times New Roman"/>
          <w:kern w:val="0"/>
          <w14:ligatures w14:val="none"/>
        </w:rPr>
        <w:t>demonstrated superior accuracy and precision in vancomycin AUC estimation compared to trough-only and analytic approaches. These models achieved the lowest root mean squared error (RMSE), the narrowest 95% confidence intervals, and the highest clinical decision agreement (CDA), with CDA exceeding 88% in peak-trough models. No significant advantage was observed for two-compartment Bayesian models over one-compartment Bayesian models when only sparse sampling was available. In contrast, trough-only and fixed volume of distribution methods exhibited higher RMSE, wider confidence intervals, and lower CDA. These findings support the use of Bayesian peak-trough approaches for optimal vancomycin dosing and therapeutic drug monitoring.</w:t>
      </w:r>
    </w:p>
    <w:p w14:paraId="5410C68D" w14:textId="408AC986" w:rsidR="00BF3FCD" w:rsidRPr="00BF3FCD" w:rsidRDefault="00836144" w:rsidP="00BF3FCD">
      <w:pPr>
        <w:spacing w:line="300" w:lineRule="atLeast"/>
        <w:rPr>
          <w:rFonts w:ascii="Segoe UI" w:eastAsia="Times New Roman" w:hAnsi="Segoe UI" w:cs="Segoe UI"/>
          <w:kern w:val="0"/>
          <w:sz w:val="21"/>
          <w:szCs w:val="21"/>
          <w14:ligatures w14:val="none"/>
        </w:rPr>
      </w:pPr>
      <w:r w:rsidRPr="00836144">
        <w:rPr>
          <w:rFonts w:ascii="Times New Roman" w:eastAsia="Times New Roman" w:hAnsi="Times New Roman" w:cs="Times New Roman"/>
          <w:kern w:val="0"/>
          <w14:ligatures w14:val="none"/>
        </w:rPr>
        <w:t>Conclusion: </w:t>
      </w:r>
      <w:r w:rsidR="00BF3FCD" w:rsidRPr="00BF3FCD">
        <w:rPr>
          <w:rFonts w:ascii="Times New Roman" w:eastAsia="Times New Roman" w:hAnsi="Times New Roman" w:cs="Times New Roman"/>
          <w:kern w:val="0"/>
          <w14:ligatures w14:val="none"/>
        </w:rPr>
        <w:t>Bayesian peak-trough methods, whether one- or two-compartment</w:t>
      </w:r>
      <w:r w:rsidR="00BF3FCD">
        <w:rPr>
          <w:rFonts w:ascii="Times New Roman" w:eastAsia="Times New Roman" w:hAnsi="Times New Roman" w:cs="Times New Roman"/>
          <w:kern w:val="0"/>
          <w14:ligatures w14:val="none"/>
        </w:rPr>
        <w:t xml:space="preserve"> </w:t>
      </w:r>
      <w:r w:rsidR="00BF3FCD" w:rsidRPr="00BF3FCD">
        <w:rPr>
          <w:rFonts w:ascii="Times New Roman" w:eastAsia="Times New Roman" w:hAnsi="Times New Roman" w:cs="Times New Roman"/>
          <w:kern w:val="0"/>
          <w14:ligatures w14:val="none"/>
        </w:rPr>
        <w:t>provide the most accurate and clinically reliable vancomycin AUC estimates, outperforming trough-only and analytic approaches. These findings support the adoption of Bayesian peak-trough approaches for therapeutic drug monitoring to optimize efficacy and minimize nephrotoxicity. Monte Carlo simulations are a valuable tool for evaluating dosing models and guiding best practices in clinical pharmacokinetics.</w:t>
      </w:r>
    </w:p>
    <w:p w14:paraId="2ADD1A53" w14:textId="229E04CA" w:rsidR="00BF3FCD" w:rsidRDefault="00BF3FCD" w:rsidP="00836144">
      <w:pPr>
        <w:spacing w:before="100" w:beforeAutospacing="1" w:after="100" w:afterAutospacing="1" w:line="240" w:lineRule="auto"/>
        <w:rPr>
          <w:rFonts w:ascii="Times New Roman" w:eastAsia="Times New Roman" w:hAnsi="Times New Roman" w:cs="Times New Roman"/>
          <w:kern w:val="0"/>
          <w14:ligatures w14:val="none"/>
        </w:rPr>
      </w:pPr>
    </w:p>
    <w:p w14:paraId="75773396" w14:textId="77777777" w:rsidR="00BF3FCD" w:rsidRDefault="00BF3FCD" w:rsidP="00836144">
      <w:pPr>
        <w:spacing w:before="100" w:beforeAutospacing="1" w:after="100" w:afterAutospacing="1" w:line="240" w:lineRule="auto"/>
        <w:rPr>
          <w:rFonts w:ascii="Times New Roman" w:eastAsia="Times New Roman" w:hAnsi="Times New Roman" w:cs="Times New Roman"/>
          <w:kern w:val="0"/>
          <w14:ligatures w14:val="none"/>
        </w:rPr>
      </w:pPr>
    </w:p>
    <w:p w14:paraId="02ACE3B1" w14:textId="77777777" w:rsidR="00BF3FCD" w:rsidRDefault="00BF3FCD" w:rsidP="00836144">
      <w:pPr>
        <w:spacing w:before="100" w:beforeAutospacing="1" w:after="100" w:afterAutospacing="1" w:line="240" w:lineRule="auto"/>
        <w:rPr>
          <w:rFonts w:ascii="Times New Roman" w:eastAsia="Times New Roman" w:hAnsi="Times New Roman" w:cs="Times New Roman"/>
          <w:kern w:val="0"/>
          <w14:ligatures w14:val="none"/>
        </w:rPr>
      </w:pPr>
    </w:p>
    <w:p w14:paraId="2152CA72" w14:textId="7902FCE5"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p>
    <w:p w14:paraId="689DAAFB" w14:textId="38585CD5"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lastRenderedPageBreak/>
        <w:t>Vancomycin, a glycopeptide antibiotic, is recommended for the treatment of serious infections caused by methicillin-resistant Staphylococcus aureus (MRSA). However, vancomycin therapy is associated with acute kidney injury (AKI) in 5% to 43% of patients, which correlates with increased morbidity and mortality.</w:t>
      </w:r>
      <w:r w:rsidR="00FA5A24" w:rsidRPr="00FA5A24">
        <w:rPr>
          <w:rFonts w:ascii="Times New Roman" w:eastAsia="Times New Roman" w:hAnsi="Times New Roman" w:cs="Times New Roman"/>
          <w:kern w:val="0"/>
          <w:vertAlign w:val="superscript"/>
          <w14:ligatures w14:val="none"/>
        </w:rPr>
        <w:t>1</w:t>
      </w:r>
      <w:r w:rsidRPr="00836144">
        <w:rPr>
          <w:rFonts w:ascii="Times New Roman" w:eastAsia="Times New Roman" w:hAnsi="Times New Roman" w:cs="Times New Roman"/>
          <w:kern w:val="0"/>
          <w14:ligatures w14:val="none"/>
        </w:rPr>
        <w:t xml:space="preserve"> The risk of AKI escalates with daily area under the curve (AUC) values exceeding 650 to 1300 </w:t>
      </w:r>
      <w:proofErr w:type="spellStart"/>
      <w:r w:rsidRPr="00836144">
        <w:rPr>
          <w:rFonts w:ascii="Times New Roman" w:eastAsia="Times New Roman" w:hAnsi="Times New Roman" w:cs="Times New Roman"/>
          <w:kern w:val="0"/>
          <w14:ligatures w14:val="none"/>
        </w:rPr>
        <w:t>mg·h</w:t>
      </w:r>
      <w:proofErr w:type="spellEnd"/>
      <w:r w:rsidRPr="00836144">
        <w:rPr>
          <w:rFonts w:ascii="Times New Roman" w:eastAsia="Times New Roman" w:hAnsi="Times New Roman" w:cs="Times New Roman"/>
          <w:kern w:val="0"/>
          <w14:ligatures w14:val="none"/>
        </w:rPr>
        <w:t>/L</w:t>
      </w:r>
      <w:r w:rsidR="00FA5A24" w:rsidRPr="003759F5">
        <w:rPr>
          <w:rFonts w:ascii="Times New Roman" w:eastAsia="Times New Roman" w:hAnsi="Times New Roman" w:cs="Times New Roman"/>
          <w:kern w:val="0"/>
          <w:vertAlign w:val="superscript"/>
          <w14:ligatures w14:val="none"/>
        </w:rPr>
        <w:t>2</w:t>
      </w:r>
      <w:r w:rsidR="008E258A" w:rsidRPr="003759F5">
        <w:rPr>
          <w:rFonts w:ascii="Times New Roman" w:eastAsia="Times New Roman" w:hAnsi="Times New Roman" w:cs="Times New Roman"/>
          <w:kern w:val="0"/>
          <w:vertAlign w:val="superscript"/>
          <w14:ligatures w14:val="none"/>
        </w:rPr>
        <w:t>,</w:t>
      </w:r>
      <w:r w:rsidR="00FA5A24" w:rsidRPr="003759F5">
        <w:rPr>
          <w:rFonts w:ascii="Times New Roman" w:eastAsia="Times New Roman" w:hAnsi="Times New Roman" w:cs="Times New Roman"/>
          <w:kern w:val="0"/>
          <w:vertAlign w:val="superscript"/>
          <w14:ligatures w14:val="none"/>
        </w:rPr>
        <w:t>3</w:t>
      </w:r>
      <w:r w:rsidR="00F93237" w:rsidRPr="003759F5">
        <w:rPr>
          <w:rFonts w:ascii="Times New Roman" w:eastAsia="Times New Roman" w:hAnsi="Times New Roman" w:cs="Times New Roman"/>
          <w:kern w:val="0"/>
          <w:vertAlign w:val="superscript"/>
          <w14:ligatures w14:val="none"/>
        </w:rPr>
        <w:t>,</w:t>
      </w:r>
      <w:r w:rsidR="003759F5" w:rsidRPr="003759F5">
        <w:rPr>
          <w:rFonts w:ascii="Segoe UI" w:hAnsi="Segoe UI" w:cs="Segoe UI"/>
          <w:color w:val="212121"/>
          <w:shd w:val="clear" w:color="auto" w:fill="FFFFFF"/>
          <w:vertAlign w:val="superscript"/>
        </w:rPr>
        <w:t>4</w:t>
      </w:r>
      <w:r w:rsidRPr="00836144">
        <w:rPr>
          <w:rFonts w:ascii="Times New Roman" w:eastAsia="Times New Roman" w:hAnsi="Times New Roman" w:cs="Times New Roman"/>
          <w:kern w:val="0"/>
          <w14:ligatures w14:val="none"/>
        </w:rPr>
        <w:t xml:space="preserve"> or trough concentrations maintained above 15 to 20 mcg/m</w:t>
      </w:r>
      <w:r w:rsidR="003759F5">
        <w:rPr>
          <w:rFonts w:ascii="Times New Roman" w:eastAsia="Times New Roman" w:hAnsi="Times New Roman" w:cs="Times New Roman"/>
          <w:kern w:val="0"/>
          <w14:ligatures w14:val="none"/>
        </w:rPr>
        <w:t>L.</w:t>
      </w:r>
      <w:r w:rsidR="003759F5" w:rsidRPr="003759F5">
        <w:rPr>
          <w:rFonts w:ascii="Times New Roman" w:eastAsia="Times New Roman" w:hAnsi="Times New Roman" w:cs="Times New Roman"/>
          <w:kern w:val="0"/>
          <w:vertAlign w:val="superscript"/>
          <w14:ligatures w14:val="none"/>
        </w:rPr>
        <w:t>5</w:t>
      </w:r>
      <w:r w:rsidRPr="00836144">
        <w:rPr>
          <w:rFonts w:ascii="Times New Roman" w:eastAsia="Times New Roman" w:hAnsi="Times New Roman" w:cs="Times New Roman"/>
          <w:kern w:val="0"/>
          <w14:ligatures w14:val="none"/>
        </w:rPr>
        <w:t xml:space="preserve"> Factors associated with nephrotoxicity include elevated body weight, preexisting renal dysfunction, critical illness, concomitant use of vasopressors, and administration of other nephrotoxic agents</w:t>
      </w:r>
      <w:r w:rsidR="00DE7981">
        <w:rPr>
          <w:rFonts w:ascii="Times New Roman" w:eastAsia="Times New Roman" w:hAnsi="Times New Roman" w:cs="Times New Roman"/>
          <w:kern w:val="0"/>
          <w14:ligatures w14:val="none"/>
        </w:rPr>
        <w:t>.</w:t>
      </w:r>
      <w:r w:rsidR="009F0DD2" w:rsidRPr="00DE7981">
        <w:rPr>
          <w:rFonts w:ascii="Times New Roman" w:eastAsia="Times New Roman" w:hAnsi="Times New Roman" w:cs="Times New Roman"/>
          <w:kern w:val="0"/>
          <w:vertAlign w:val="superscript"/>
          <w14:ligatures w14:val="none"/>
        </w:rPr>
        <w:t>4,6-16</w:t>
      </w:r>
      <w:r w:rsidRPr="00836144">
        <w:rPr>
          <w:rFonts w:ascii="Times New Roman" w:eastAsia="Times New Roman" w:hAnsi="Times New Roman" w:cs="Times New Roman"/>
          <w:kern w:val="0"/>
          <w14:ligatures w14:val="none"/>
        </w:rPr>
        <w:t xml:space="preserve"> Current consensus guidelines for vancomycin dosing emphasize optimizing efficacy while minimizing toxicity through AUC-guided monitoring, targeting an AUC/minimum inhibitory concentration (MIC) ratio of 400 to 600 </w:t>
      </w:r>
      <w:proofErr w:type="spellStart"/>
      <w:r w:rsidRPr="00836144">
        <w:rPr>
          <w:rFonts w:ascii="Times New Roman" w:eastAsia="Times New Roman" w:hAnsi="Times New Roman" w:cs="Times New Roman"/>
          <w:kern w:val="0"/>
          <w14:ligatures w14:val="none"/>
        </w:rPr>
        <w:t>mg·h</w:t>
      </w:r>
      <w:proofErr w:type="spellEnd"/>
      <w:r w:rsidRPr="00836144">
        <w:rPr>
          <w:rFonts w:ascii="Times New Roman" w:eastAsia="Times New Roman" w:hAnsi="Times New Roman" w:cs="Times New Roman"/>
          <w:kern w:val="0"/>
          <w14:ligatures w14:val="none"/>
        </w:rPr>
        <w:t>/L (assuming an MIC ≤1 mcg/mL determined by broth microdilution) in patients with serious MRSA infections or those at high risk for nephrotoxicity. Target AUC should be achieved in th</w:t>
      </w:r>
      <w:r w:rsidR="00237218">
        <w:rPr>
          <w:rFonts w:ascii="Times New Roman" w:eastAsia="Times New Roman" w:hAnsi="Times New Roman" w:cs="Times New Roman"/>
          <w:kern w:val="0"/>
          <w14:ligatures w14:val="none"/>
        </w:rPr>
        <w:t>e</w:t>
      </w:r>
      <w:r w:rsidRPr="00836144">
        <w:rPr>
          <w:rFonts w:ascii="Times New Roman" w:eastAsia="Times New Roman" w:hAnsi="Times New Roman" w:cs="Times New Roman"/>
          <w:kern w:val="0"/>
          <w14:ligatures w14:val="none"/>
        </w:rPr>
        <w:t xml:space="preserve"> first 48 hours of therapy. Recommended AUC monitoring approaches include the one-compartment model using analytic equations, which requires a post-distribution peak concentration (drawn 1 to 2 hours post-infusion) and a trough concentration (drawn at the end of the dosing interval), both obtained at steady state and preferably within the same dosing interval. Alternatively, Bayesian methods incorporating priors derived from richly sampled vancomycin pharmacokinetic data may be employed, utilizing a peak (drawn 1 to 2 hours post-infusion) and a trough (drawn at the end of the dosing interval</w:t>
      </w:r>
      <w:r w:rsidRPr="00836144">
        <w:rPr>
          <w:rFonts w:ascii="Times New Roman" w:eastAsia="Times New Roman" w:hAnsi="Times New Roman" w:cs="Times New Roman"/>
          <w:b/>
          <w:bCs/>
          <w:kern w:val="0"/>
          <w14:ligatures w14:val="none"/>
        </w:rPr>
        <w:t xml:space="preserve">) </w:t>
      </w:r>
      <w:r w:rsidRPr="00836144">
        <w:rPr>
          <w:rFonts w:ascii="Times New Roman" w:eastAsia="Times New Roman" w:hAnsi="Times New Roman" w:cs="Times New Roman"/>
          <w:kern w:val="0"/>
          <w14:ligatures w14:val="none"/>
        </w:rPr>
        <w:t>concentration.</w:t>
      </w:r>
      <w:r w:rsidRPr="00836144">
        <w:rPr>
          <w:rFonts w:ascii="Times New Roman" w:eastAsia="Times New Roman" w:hAnsi="Times New Roman" w:cs="Times New Roman"/>
          <w:kern w:val="0"/>
          <w:vertAlign w:val="superscript"/>
          <w14:ligatures w14:val="none"/>
        </w:rPr>
        <w:t>1</w:t>
      </w:r>
      <w:r w:rsidR="00525344">
        <w:rPr>
          <w:rFonts w:ascii="Times New Roman" w:eastAsia="Times New Roman" w:hAnsi="Times New Roman" w:cs="Times New Roman"/>
          <w:kern w:val="0"/>
          <w:vertAlign w:val="superscript"/>
          <w14:ligatures w14:val="none"/>
        </w:rPr>
        <w:t>7</w:t>
      </w:r>
    </w:p>
    <w:p w14:paraId="03B54DEE" w14:textId="37FD4CD2"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w:t>
      </w:r>
      <w:r w:rsidR="001676C5">
        <w:rPr>
          <w:rFonts w:ascii="Times New Roman" w:eastAsia="Times New Roman" w:hAnsi="Times New Roman" w:cs="Times New Roman"/>
          <w:kern w:val="0"/>
          <w14:ligatures w14:val="none"/>
        </w:rPr>
        <w:t xml:space="preserve">et al. </w:t>
      </w:r>
      <w:r w:rsidRPr="00836144">
        <w:rPr>
          <w:rFonts w:ascii="Times New Roman" w:eastAsia="Times New Roman" w:hAnsi="Times New Roman" w:cs="Times New Roman"/>
          <w:kern w:val="0"/>
          <w14:ligatures w14:val="none"/>
        </w:rPr>
        <w:t xml:space="preserve">studied vancomycin pharmacokinetics (PK) in </w:t>
      </w:r>
      <w:proofErr w:type="gramStart"/>
      <w:r w:rsidRPr="00836144">
        <w:rPr>
          <w:rFonts w:ascii="Times New Roman" w:eastAsia="Times New Roman" w:hAnsi="Times New Roman" w:cs="Times New Roman"/>
          <w:kern w:val="0"/>
          <w14:ligatures w14:val="none"/>
        </w:rPr>
        <w:t>1812 patients</w:t>
      </w:r>
      <w:proofErr w:type="gramEnd"/>
      <w:r w:rsidRPr="00836144">
        <w:rPr>
          <w:rFonts w:ascii="Times New Roman" w:eastAsia="Times New Roman" w:hAnsi="Times New Roman" w:cs="Times New Roman"/>
          <w:kern w:val="0"/>
          <w14:ligatures w14:val="none"/>
        </w:rPr>
        <w:t xml:space="preserve"> with 336 patients receiving high flux intermittent hemodialysis</w:t>
      </w:r>
      <w:r w:rsidR="00DA1AA0">
        <w:rPr>
          <w:rFonts w:ascii="Times New Roman" w:eastAsia="Times New Roman" w:hAnsi="Times New Roman" w:cs="Times New Roman"/>
          <w:kern w:val="0"/>
          <w14:ligatures w14:val="none"/>
        </w:rPr>
        <w:t xml:space="preserve"> and routine clinical monitoring</w:t>
      </w:r>
      <w:r w:rsidRPr="00836144">
        <w:rPr>
          <w:rFonts w:ascii="Times New Roman" w:eastAsia="Times New Roman" w:hAnsi="Times New Roman" w:cs="Times New Roman"/>
          <w:kern w:val="0"/>
          <w14:ligatures w14:val="none"/>
        </w:rPr>
        <w:t>.</w:t>
      </w:r>
      <w:r w:rsidR="00525344">
        <w:rPr>
          <w:rFonts w:ascii="Times New Roman" w:eastAsia="Times New Roman" w:hAnsi="Times New Roman" w:cs="Times New Roman"/>
          <w:kern w:val="0"/>
          <w:vertAlign w:val="superscript"/>
          <w14:ligatures w14:val="none"/>
        </w:rPr>
        <w:t>18</w:t>
      </w:r>
      <w:r w:rsidRPr="00836144">
        <w:rPr>
          <w:rFonts w:ascii="Times New Roman" w:eastAsia="Times New Roman" w:hAnsi="Times New Roman" w:cs="Times New Roman"/>
          <w:kern w:val="0"/>
          <w14:ligatures w14:val="none"/>
        </w:rPr>
        <w:t xml:space="preserve"> A two-compartment PK model was developed for vancomycin in non-hemodialysis and hemodialysis patients.</w:t>
      </w:r>
      <w:r w:rsidR="009E5896">
        <w:rPr>
          <w:rFonts w:ascii="Times New Roman" w:eastAsia="Times New Roman" w:hAnsi="Times New Roman" w:cs="Times New Roman"/>
          <w:kern w:val="0"/>
          <w14:ligatures w14:val="none"/>
        </w:rPr>
        <w:t xml:space="preserve"> </w:t>
      </w:r>
      <w:r w:rsidRPr="00836144">
        <w:rPr>
          <w:rFonts w:ascii="Times New Roman" w:eastAsia="Times New Roman" w:hAnsi="Times New Roman" w:cs="Times New Roman"/>
          <w:kern w:val="0"/>
          <w14:ligatures w14:val="none"/>
        </w:rPr>
        <w:t xml:space="preserve">The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model has been shown to have the best predictive performance with a </w:t>
      </w:r>
      <w:r w:rsidR="009E5896" w:rsidRPr="00836144">
        <w:rPr>
          <w:rFonts w:ascii="Times New Roman" w:eastAsia="Times New Roman" w:hAnsi="Times New Roman" w:cs="Times New Roman"/>
          <w:kern w:val="0"/>
          <w14:ligatures w14:val="none"/>
        </w:rPr>
        <w:t>relative</w:t>
      </w:r>
      <w:r w:rsidRPr="00836144">
        <w:rPr>
          <w:rFonts w:ascii="Times New Roman" w:eastAsia="Times New Roman" w:hAnsi="Times New Roman" w:cs="Times New Roman"/>
          <w:kern w:val="0"/>
          <w14:ligatures w14:val="none"/>
        </w:rPr>
        <w:t xml:space="preserve"> Bias of -4.41% and a relative RMSE of 44.3% when compared to thirty models.</w:t>
      </w:r>
      <w:r w:rsidR="00525344">
        <w:rPr>
          <w:rFonts w:ascii="Times New Roman" w:eastAsia="Times New Roman" w:hAnsi="Times New Roman" w:cs="Times New Roman"/>
          <w:kern w:val="0"/>
          <w:vertAlign w:val="superscript"/>
          <w14:ligatures w14:val="none"/>
        </w:rPr>
        <w:t>19</w:t>
      </w:r>
    </w:p>
    <w:p w14:paraId="5D7B68C5" w14:textId="48450E8C"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Studies have investigated the agreement of first order analytic equations and two compartment model Bayesian AUC calculation methods and their associated </w:t>
      </w:r>
      <w:r w:rsidR="009E5896" w:rsidRPr="00836144">
        <w:rPr>
          <w:rFonts w:ascii="Times New Roman" w:eastAsia="Times New Roman" w:hAnsi="Times New Roman" w:cs="Times New Roman"/>
          <w:kern w:val="0"/>
          <w14:ligatures w14:val="none"/>
        </w:rPr>
        <w:t>variability</w:t>
      </w:r>
      <w:r w:rsidRPr="00836144">
        <w:rPr>
          <w:rFonts w:ascii="Times New Roman" w:eastAsia="Times New Roman" w:hAnsi="Times New Roman" w:cs="Times New Roman"/>
          <w:kern w:val="0"/>
          <w14:ligatures w14:val="none"/>
        </w:rPr>
        <w:t xml:space="preserve"> from vancomycin serum level data, but have not compared the methods using known AUC values.</w:t>
      </w:r>
      <w:r w:rsidR="00525344">
        <w:rPr>
          <w:rFonts w:ascii="Times New Roman" w:eastAsia="Times New Roman" w:hAnsi="Times New Roman" w:cs="Times New Roman"/>
          <w:kern w:val="0"/>
          <w:vertAlign w:val="superscript"/>
          <w14:ligatures w14:val="none"/>
        </w:rPr>
        <w:t>2, 20</w:t>
      </w:r>
      <w:r w:rsidRPr="00836144">
        <w:rPr>
          <w:rFonts w:ascii="Times New Roman" w:eastAsia="Times New Roman" w:hAnsi="Times New Roman" w:cs="Times New Roman"/>
          <w:kern w:val="0"/>
          <w:vertAlign w:val="superscript"/>
          <w14:ligatures w14:val="none"/>
        </w:rPr>
        <w:t>,</w:t>
      </w:r>
      <w:r w:rsidR="00525344">
        <w:rPr>
          <w:rFonts w:ascii="Times New Roman" w:eastAsia="Times New Roman" w:hAnsi="Times New Roman" w:cs="Times New Roman"/>
          <w:kern w:val="0"/>
          <w:vertAlign w:val="superscript"/>
          <w14:ligatures w14:val="none"/>
        </w:rPr>
        <w:t xml:space="preserve"> 21</w:t>
      </w:r>
      <w:r w:rsidRPr="00836144">
        <w:rPr>
          <w:rFonts w:ascii="Times New Roman" w:eastAsia="Times New Roman" w:hAnsi="Times New Roman" w:cs="Times New Roman"/>
          <w:kern w:val="0"/>
          <w14:ligatures w14:val="none"/>
        </w:rPr>
        <w:t>  Analytic AUC calculation methods have been well described.</w:t>
      </w:r>
      <w:r w:rsidR="00525344">
        <w:rPr>
          <w:rFonts w:ascii="Times New Roman" w:eastAsia="Times New Roman" w:hAnsi="Times New Roman" w:cs="Times New Roman"/>
          <w:kern w:val="0"/>
          <w:vertAlign w:val="superscript"/>
          <w14:ligatures w14:val="none"/>
        </w:rPr>
        <w:t>2</w:t>
      </w:r>
      <w:r w:rsidR="00161DF3">
        <w:rPr>
          <w:rFonts w:ascii="Times New Roman" w:eastAsia="Times New Roman" w:hAnsi="Times New Roman" w:cs="Times New Roman"/>
          <w:kern w:val="0"/>
          <w:vertAlign w:val="superscript"/>
          <w14:ligatures w14:val="none"/>
        </w:rPr>
        <w:t>2</w:t>
      </w:r>
      <w:r w:rsidR="00525344">
        <w:rPr>
          <w:rFonts w:ascii="Times New Roman" w:eastAsia="Times New Roman" w:hAnsi="Times New Roman" w:cs="Times New Roman"/>
          <w:kern w:val="0"/>
          <w:vertAlign w:val="superscript"/>
          <w14:ligatures w14:val="none"/>
        </w:rPr>
        <w:t>-2</w:t>
      </w:r>
      <w:r w:rsidR="00161DF3">
        <w:rPr>
          <w:rFonts w:ascii="Times New Roman" w:eastAsia="Times New Roman" w:hAnsi="Times New Roman" w:cs="Times New Roman"/>
          <w:kern w:val="0"/>
          <w:vertAlign w:val="superscript"/>
          <w14:ligatures w14:val="none"/>
        </w:rPr>
        <w:t>4</w:t>
      </w:r>
      <w:r w:rsidRPr="00836144">
        <w:rPr>
          <w:rFonts w:ascii="Times New Roman" w:eastAsia="Times New Roman" w:hAnsi="Times New Roman" w:cs="Times New Roman"/>
          <w:kern w:val="0"/>
          <w14:ligatures w14:val="none"/>
        </w:rPr>
        <w:t>  Our Monte Carlo study aimed to compare accuracy of AUC estimates and overall agreement for one-compartment and two-</w:t>
      </w:r>
      <w:r w:rsidR="009E5896" w:rsidRPr="00836144">
        <w:rPr>
          <w:rFonts w:ascii="Times New Roman" w:eastAsia="Times New Roman" w:hAnsi="Times New Roman" w:cs="Times New Roman"/>
          <w:kern w:val="0"/>
          <w14:ligatures w14:val="none"/>
        </w:rPr>
        <w:t>compartment</w:t>
      </w:r>
      <w:r w:rsidRPr="00836144">
        <w:rPr>
          <w:rFonts w:ascii="Times New Roman" w:eastAsia="Times New Roman" w:hAnsi="Times New Roman" w:cs="Times New Roman"/>
          <w:kern w:val="0"/>
          <w14:ligatures w14:val="none"/>
        </w:rPr>
        <w:t xml:space="preserve"> models using trough and peak-trough steady state levels with Bayesian and non-Bayesian techniques to the actual AUC when the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two-compartment model best characterizes vancomycin pharmacokinetics. </w:t>
      </w:r>
    </w:p>
    <w:p w14:paraId="5D61714A" w14:textId="3772F341"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r w:rsidRPr="00836144">
        <w:rPr>
          <w:rFonts w:ascii="Times New Roman" w:eastAsia="Times New Roman" w:hAnsi="Times New Roman" w:cs="Times New Roman"/>
          <w:b/>
          <w:bCs/>
          <w:kern w:val="0"/>
          <w14:ligatures w14:val="none"/>
        </w:rPr>
        <w:t>Methods</w:t>
      </w:r>
    </w:p>
    <w:p w14:paraId="7E43FE8B" w14:textId="77777777"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Study Design and Monte Carlo Simulation</w:t>
      </w:r>
    </w:p>
    <w:p w14:paraId="11891276" w14:textId="36CF4D21"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Pharmacokinetic analyses were performed using Monte Carlo simulations implemented in Python. Monte Carlo simulation involves random sampling to approximate solutions to quantitative problems, employing randomly generated values based on population parameter</w:t>
      </w:r>
      <w:r w:rsidR="00237218">
        <w:rPr>
          <w:rFonts w:ascii="Times New Roman" w:eastAsia="Times New Roman" w:hAnsi="Times New Roman" w:cs="Times New Roman"/>
          <w:kern w:val="0"/>
          <w14:ligatures w14:val="none"/>
        </w:rPr>
        <w:t xml:space="preserve"> means</w:t>
      </w:r>
      <w:r w:rsidRPr="00836144">
        <w:rPr>
          <w:rFonts w:ascii="Times New Roman" w:eastAsia="Times New Roman" w:hAnsi="Times New Roman" w:cs="Times New Roman"/>
          <w:kern w:val="0"/>
          <w14:ligatures w14:val="none"/>
        </w:rPr>
        <w:t xml:space="preserve"> and standard deviations to simulate large datasets and evaluate their properties. Simulations repeatedly simulate the model, drawing a different random set of values from the sampling distribution of the model's parameters, the result of which is a large data set of possible outcomes.</w:t>
      </w:r>
      <w:r w:rsidR="00161DF3">
        <w:rPr>
          <w:rFonts w:ascii="Times New Roman" w:eastAsia="Times New Roman" w:hAnsi="Times New Roman" w:cs="Times New Roman"/>
          <w:kern w:val="0"/>
          <w:vertAlign w:val="superscript"/>
          <w14:ligatures w14:val="none"/>
        </w:rPr>
        <w:t>25</w:t>
      </w:r>
    </w:p>
    <w:p w14:paraId="5295E500" w14:textId="6EF67F17"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This study assesses the influence of the number of steady-state serum vancomycin levels monitored during a dosing interval</w:t>
      </w:r>
      <w:r w:rsidR="00237218">
        <w:rPr>
          <w:rFonts w:ascii="Times New Roman" w:eastAsia="Times New Roman" w:hAnsi="Times New Roman" w:cs="Times New Roman"/>
          <w:kern w:val="0"/>
          <w14:ligatures w14:val="none"/>
        </w:rPr>
        <w:t xml:space="preserve"> and model selected</w:t>
      </w:r>
      <w:r w:rsidRPr="00836144">
        <w:rPr>
          <w:rFonts w:ascii="Times New Roman" w:eastAsia="Times New Roman" w:hAnsi="Times New Roman" w:cs="Times New Roman"/>
          <w:kern w:val="0"/>
          <w14:ligatures w14:val="none"/>
        </w:rPr>
        <w:t xml:space="preserve"> on the accuracy of area under the curve (AUC) calculations using one-compartment and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two-compartment pharmacokinetic models, assuming the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two-compartment model best characterizes vancomycin pharmacokinetics. This simulation-based study utilized Monte Carlo methods to evaluate the accuracy of vancomycin AUC estimations with steady state levels. Post-infusion serum levels were evaluated at the following time points: 2 levels (2 and 10 hours); and 1 level (10 hours).  Bayesian fitting</w:t>
      </w:r>
      <w:r w:rsidR="00237218">
        <w:rPr>
          <w:rFonts w:ascii="Times New Roman" w:eastAsia="Times New Roman" w:hAnsi="Times New Roman" w:cs="Times New Roman"/>
          <w:kern w:val="0"/>
          <w14:ligatures w14:val="none"/>
        </w:rPr>
        <w:t>s</w:t>
      </w:r>
      <w:r w:rsidRPr="00836144">
        <w:rPr>
          <w:rFonts w:ascii="Times New Roman" w:eastAsia="Times New Roman" w:hAnsi="Times New Roman" w:cs="Times New Roman"/>
          <w:kern w:val="0"/>
          <w14:ligatures w14:val="none"/>
        </w:rPr>
        <w:t xml:space="preserve"> w</w:t>
      </w:r>
      <w:r w:rsidR="00890AB5">
        <w:rPr>
          <w:rFonts w:ascii="Times New Roman" w:eastAsia="Times New Roman" w:hAnsi="Times New Roman" w:cs="Times New Roman"/>
          <w:kern w:val="0"/>
          <w14:ligatures w14:val="none"/>
        </w:rPr>
        <w:t xml:space="preserve">ere </w:t>
      </w:r>
      <w:r w:rsidRPr="00836144">
        <w:rPr>
          <w:rFonts w:ascii="Times New Roman" w:eastAsia="Times New Roman" w:hAnsi="Times New Roman" w:cs="Times New Roman"/>
          <w:kern w:val="0"/>
          <w14:ligatures w14:val="none"/>
        </w:rPr>
        <w:t xml:space="preserve">applied to models, with additional non-Bayesian methods used for the one-compartment model. Simulations were conducted in Python, generating randomized pharmacokinetic (PK) parameters from the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two-compartment model's population means, assuming normal distribution with variability up to two standard </w:t>
      </w:r>
      <w:r w:rsidRPr="00836144">
        <w:rPr>
          <w:rFonts w:ascii="Times New Roman" w:eastAsia="Times New Roman" w:hAnsi="Times New Roman" w:cs="Times New Roman"/>
          <w:kern w:val="0"/>
          <w14:ligatures w14:val="none"/>
        </w:rPr>
        <w:lastRenderedPageBreak/>
        <w:t xml:space="preserve">deviations. The randomized parameters values were treated as the true parameter values. Patient were simulated, with mean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clearance total values aligned to Cockcroft-Gault creatinine clearance of 120 mL/min. The dose of 1125 mg was selected to target an AUC of 500 mg*h/L based on the two-compartment population mean clearance total for the creatinine clearance of 120 ml/min.  Dosing interval was set at 12 hours, with a 2-hour infusion period. Patient weight was set at 70 </w:t>
      </w:r>
      <w:r w:rsidR="009E5896" w:rsidRPr="00836144">
        <w:rPr>
          <w:rFonts w:ascii="Times New Roman" w:eastAsia="Times New Roman" w:hAnsi="Times New Roman" w:cs="Times New Roman"/>
          <w:kern w:val="0"/>
          <w14:ligatures w14:val="none"/>
        </w:rPr>
        <w:t>kg,</w:t>
      </w:r>
      <w:r w:rsidRPr="00836144">
        <w:rPr>
          <w:rFonts w:ascii="Times New Roman" w:eastAsia="Times New Roman" w:hAnsi="Times New Roman" w:cs="Times New Roman"/>
          <w:kern w:val="0"/>
          <w14:ligatures w14:val="none"/>
        </w:rPr>
        <w:t xml:space="preserve"> and a MIC of 1 ml/L was assumed. Thirty thousand virtual patients were created. True serum levels were calculated with the </w:t>
      </w:r>
      <w:r w:rsidR="009E5896" w:rsidRPr="00836144">
        <w:rPr>
          <w:rFonts w:ascii="Times New Roman" w:eastAsia="Times New Roman" w:hAnsi="Times New Roman" w:cs="Times New Roman"/>
          <w:kern w:val="0"/>
          <w14:ligatures w14:val="none"/>
        </w:rPr>
        <w:t>randomized</w:t>
      </w:r>
      <w:r w:rsidRPr="00836144">
        <w:rPr>
          <w:rFonts w:ascii="Times New Roman" w:eastAsia="Times New Roman" w:hAnsi="Times New Roman" w:cs="Times New Roman"/>
          <w:kern w:val="0"/>
          <w14:ligatures w14:val="none"/>
        </w:rPr>
        <w:t xml:space="preserve"> PK parameters using standard two-compartment open-model equations for intermittent infusion. Randomized values for each true level were generated from a normal distribution to account for assay variability with a coefficient of </w:t>
      </w:r>
      <w:r w:rsidR="0072181A" w:rsidRPr="00836144">
        <w:rPr>
          <w:rFonts w:ascii="Times New Roman" w:eastAsia="Times New Roman" w:hAnsi="Times New Roman" w:cs="Times New Roman"/>
          <w:kern w:val="0"/>
          <w14:ligatures w14:val="none"/>
        </w:rPr>
        <w:t>variability</w:t>
      </w:r>
      <w:r w:rsidRPr="00836144">
        <w:rPr>
          <w:rFonts w:ascii="Times New Roman" w:eastAsia="Times New Roman" w:hAnsi="Times New Roman" w:cs="Times New Roman"/>
          <w:kern w:val="0"/>
          <w14:ligatures w14:val="none"/>
        </w:rPr>
        <w:t xml:space="preserve"> of 0.1, representing measured levels.  A fixed randomization seed ensured reproducibility across simulations.</w:t>
      </w:r>
    </w:p>
    <w:p w14:paraId="5B7F0A50" w14:textId="470336C0"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Data fitting for each row employed Python's least-squares optimization routine with bounds to minimize the sum of squared errors between randomized (measured) and predicted levels for the two-compartment model, optimizing central volume of distribution, peripheral volume of distribution, clearance total, and distribution clearance. Predicted levels and steady-state AUC were calculated using standard two-compartment open-model equations for intermittent infusion. All two-compartment fittings were Bayesian. For the non-Bayesian one-compartment model, standard open-model equations for intermittent infusion were used to estimate volume of distribution (</w:t>
      </w:r>
      <w:proofErr w:type="spellStart"/>
      <w:r w:rsidRPr="00836144">
        <w:rPr>
          <w:rFonts w:ascii="Times New Roman" w:eastAsia="Times New Roman" w:hAnsi="Times New Roman" w:cs="Times New Roman"/>
          <w:kern w:val="0"/>
          <w14:ligatures w14:val="none"/>
        </w:rPr>
        <w:t>Vd</w:t>
      </w:r>
      <w:proofErr w:type="spellEnd"/>
      <w:r w:rsidRPr="00836144">
        <w:rPr>
          <w:rFonts w:ascii="Times New Roman" w:eastAsia="Times New Roman" w:hAnsi="Times New Roman" w:cs="Times New Roman"/>
          <w:kern w:val="0"/>
          <w14:ligatures w14:val="none"/>
        </w:rPr>
        <w:t xml:space="preserve">), elimination rate constant (K), clearance, and AUC from the </w:t>
      </w:r>
      <w:r w:rsidR="008454EA">
        <w:rPr>
          <w:rFonts w:ascii="Times New Roman" w:eastAsia="Times New Roman" w:hAnsi="Times New Roman" w:cs="Times New Roman"/>
          <w:kern w:val="0"/>
          <w14:ligatures w14:val="none"/>
        </w:rPr>
        <w:t>2-</w:t>
      </w:r>
      <w:r w:rsidRPr="00836144">
        <w:rPr>
          <w:rFonts w:ascii="Times New Roman" w:eastAsia="Times New Roman" w:hAnsi="Times New Roman" w:cs="Times New Roman"/>
          <w:kern w:val="0"/>
          <w14:ligatures w14:val="none"/>
        </w:rPr>
        <w:t xml:space="preserve"> and </w:t>
      </w:r>
      <w:r w:rsidR="008454EA">
        <w:rPr>
          <w:rFonts w:ascii="Times New Roman" w:eastAsia="Times New Roman" w:hAnsi="Times New Roman" w:cs="Times New Roman"/>
          <w:kern w:val="0"/>
          <w14:ligatures w14:val="none"/>
        </w:rPr>
        <w:t>10-</w:t>
      </w:r>
      <w:r w:rsidRPr="00836144">
        <w:rPr>
          <w:rFonts w:ascii="Times New Roman" w:eastAsia="Times New Roman" w:hAnsi="Times New Roman" w:cs="Times New Roman"/>
          <w:kern w:val="0"/>
          <w14:ligatures w14:val="none"/>
        </w:rPr>
        <w:t xml:space="preserve">hour levels via the Sawchuk-Zaske method. For one-compartment trough-only fitting (10-hour level), </w:t>
      </w:r>
      <w:proofErr w:type="spellStart"/>
      <w:r w:rsidRPr="00836144">
        <w:rPr>
          <w:rFonts w:ascii="Times New Roman" w:eastAsia="Times New Roman" w:hAnsi="Times New Roman" w:cs="Times New Roman"/>
          <w:kern w:val="0"/>
          <w14:ligatures w14:val="none"/>
        </w:rPr>
        <w:t>Vd</w:t>
      </w:r>
      <w:proofErr w:type="spellEnd"/>
      <w:r w:rsidRPr="00836144">
        <w:rPr>
          <w:rFonts w:ascii="Times New Roman" w:eastAsia="Times New Roman" w:hAnsi="Times New Roman" w:cs="Times New Roman"/>
          <w:kern w:val="0"/>
          <w14:ligatures w14:val="none"/>
        </w:rPr>
        <w:t xml:space="preserve"> was fixed at the geometric mean derived from Sawchuk-Zaske calculations excluding values calculated less than zero, and clearance was optimized using least-squares fitting. The Sawchuk-Zaske geometric mean </w:t>
      </w:r>
      <w:proofErr w:type="spellStart"/>
      <w:r w:rsidRPr="00836144">
        <w:rPr>
          <w:rFonts w:ascii="Times New Roman" w:eastAsia="Times New Roman" w:hAnsi="Times New Roman" w:cs="Times New Roman"/>
          <w:kern w:val="0"/>
          <w14:ligatures w14:val="none"/>
        </w:rPr>
        <w:t>Vd</w:t>
      </w:r>
      <w:proofErr w:type="spellEnd"/>
      <w:r w:rsidRPr="00836144">
        <w:rPr>
          <w:rFonts w:ascii="Times New Roman" w:eastAsia="Times New Roman" w:hAnsi="Times New Roman" w:cs="Times New Roman"/>
          <w:kern w:val="0"/>
          <w14:ligatures w14:val="none"/>
        </w:rPr>
        <w:t xml:space="preserve"> and mean </w:t>
      </w:r>
      <w:r w:rsidR="008454EA">
        <w:rPr>
          <w:rFonts w:ascii="Times New Roman" w:eastAsia="Times New Roman" w:hAnsi="Times New Roman" w:cs="Times New Roman"/>
          <w:kern w:val="0"/>
          <w14:ligatures w14:val="none"/>
        </w:rPr>
        <w:t>clearance</w:t>
      </w:r>
      <w:r w:rsidRPr="00836144">
        <w:rPr>
          <w:rFonts w:ascii="Times New Roman" w:eastAsia="Times New Roman" w:hAnsi="Times New Roman" w:cs="Times New Roman"/>
          <w:kern w:val="0"/>
          <w14:ligatures w14:val="none"/>
        </w:rPr>
        <w:t xml:space="preserve"> were used as priors in the Bayesian one-compartment method</w:t>
      </w:r>
      <w:r w:rsidR="008454EA">
        <w:rPr>
          <w:rFonts w:ascii="Times New Roman" w:eastAsia="Times New Roman" w:hAnsi="Times New Roman" w:cs="Times New Roman"/>
          <w:kern w:val="0"/>
          <w14:ligatures w14:val="none"/>
        </w:rPr>
        <w:t>s</w:t>
      </w:r>
      <w:r w:rsidRPr="00836144">
        <w:rPr>
          <w:rFonts w:ascii="Times New Roman" w:eastAsia="Times New Roman" w:hAnsi="Times New Roman" w:cs="Times New Roman"/>
          <w:kern w:val="0"/>
          <w14:ligatures w14:val="none"/>
        </w:rPr>
        <w:t xml:space="preserve"> using a trough, and a peak and trough levels.</w:t>
      </w:r>
    </w:p>
    <w:p w14:paraId="3D10E573" w14:textId="4FDFF498"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Standard one and two compartment open model pharmacokinetic equations were used. One-compartment </w:t>
      </w:r>
      <w:r w:rsidR="008454EA" w:rsidRPr="00836144">
        <w:rPr>
          <w:rFonts w:ascii="Times New Roman" w:eastAsia="Times New Roman" w:hAnsi="Times New Roman" w:cs="Times New Roman"/>
          <w:kern w:val="0"/>
          <w14:ligatures w14:val="none"/>
        </w:rPr>
        <w:t>Bayesian</w:t>
      </w:r>
      <w:r w:rsidRPr="00836144">
        <w:rPr>
          <w:rFonts w:ascii="Times New Roman" w:eastAsia="Times New Roman" w:hAnsi="Times New Roman" w:cs="Times New Roman"/>
          <w:kern w:val="0"/>
          <w14:ligatures w14:val="none"/>
        </w:rPr>
        <w:t xml:space="preserve"> fittings assume population mean parameter </w:t>
      </w:r>
      <w:r w:rsidR="009E5896" w:rsidRPr="00836144">
        <w:rPr>
          <w:rFonts w:ascii="Times New Roman" w:eastAsia="Times New Roman" w:hAnsi="Times New Roman" w:cs="Times New Roman"/>
          <w:kern w:val="0"/>
          <w14:ligatures w14:val="none"/>
        </w:rPr>
        <w:t>coefficients</w:t>
      </w:r>
      <w:r w:rsidRPr="00836144">
        <w:rPr>
          <w:rFonts w:ascii="Times New Roman" w:eastAsia="Times New Roman" w:hAnsi="Times New Roman" w:cs="Times New Roman"/>
          <w:kern w:val="0"/>
          <w14:ligatures w14:val="none"/>
        </w:rPr>
        <w:t xml:space="preserve"> of variation of 0.3.</w:t>
      </w:r>
      <w:r w:rsidRPr="00836144">
        <w:rPr>
          <w:rFonts w:ascii="Times New Roman" w:eastAsia="Times New Roman" w:hAnsi="Times New Roman" w:cs="Times New Roman"/>
          <w:b/>
          <w:bCs/>
          <w:kern w:val="0"/>
          <w14:ligatures w14:val="none"/>
        </w:rPr>
        <w:t xml:space="preserve"> </w:t>
      </w:r>
      <w:proofErr w:type="spellStart"/>
      <w:r w:rsidRPr="00836144">
        <w:rPr>
          <w:rFonts w:ascii="Times New Roman" w:eastAsia="Times New Roman" w:hAnsi="Times New Roman" w:cs="Times New Roman"/>
          <w:kern w:val="0"/>
          <w14:ligatures w14:val="none"/>
        </w:rPr>
        <w:t>Goti</w:t>
      </w:r>
      <w:proofErr w:type="spellEnd"/>
      <w:r w:rsidRPr="00836144">
        <w:rPr>
          <w:rFonts w:ascii="Times New Roman" w:eastAsia="Times New Roman" w:hAnsi="Times New Roman" w:cs="Times New Roman"/>
          <w:kern w:val="0"/>
          <w14:ligatures w14:val="none"/>
        </w:rPr>
        <w:t xml:space="preserve"> two-compartment model parameters were:</w:t>
      </w:r>
      <w:r w:rsidRPr="00836144">
        <w:rPr>
          <w:rFonts w:ascii="Times New Roman" w:eastAsia="Times New Roman" w:hAnsi="Times New Roman" w:cs="Times New Roman"/>
          <w:b/>
          <w:bCs/>
          <w:kern w:val="0"/>
          <w14:ligatures w14:val="none"/>
        </w:rPr>
        <w:t xml:space="preserve"> </w:t>
      </w:r>
      <w:r w:rsidRPr="00836144">
        <w:rPr>
          <w:rFonts w:ascii="Times New Roman" w:eastAsia="Times New Roman" w:hAnsi="Times New Roman" w:cs="Times New Roman"/>
          <w:kern w:val="0"/>
          <w14:ligatures w14:val="none"/>
        </w:rPr>
        <w:t>Cl total population mean (L/h) = 4.5 * (creatinine clearance/120)</w:t>
      </w:r>
      <w:r w:rsidRPr="00836144">
        <w:rPr>
          <w:rFonts w:ascii="Times New Roman" w:eastAsia="Times New Roman" w:hAnsi="Times New Roman" w:cs="Times New Roman"/>
          <w:kern w:val="0"/>
          <w:vertAlign w:val="superscript"/>
          <w14:ligatures w14:val="none"/>
        </w:rPr>
        <w:t>0.8</w:t>
      </w:r>
      <w:r w:rsidRPr="00836144">
        <w:rPr>
          <w:rFonts w:ascii="Times New Roman" w:eastAsia="Times New Roman" w:hAnsi="Times New Roman" w:cs="Times New Roman"/>
          <w:kern w:val="0"/>
          <w14:ligatures w14:val="none"/>
        </w:rPr>
        <w:t>,</w:t>
      </w:r>
      <w:r w:rsidR="00403FA5">
        <w:rPr>
          <w:rFonts w:ascii="Times New Roman" w:eastAsia="Times New Roman" w:hAnsi="Times New Roman" w:cs="Times New Roman"/>
          <w:kern w:val="0"/>
          <w14:ligatures w14:val="none"/>
        </w:rPr>
        <w:t xml:space="preserve"> </w:t>
      </w:r>
      <w:proofErr w:type="spellStart"/>
      <w:r w:rsidRPr="00836144">
        <w:rPr>
          <w:rFonts w:ascii="Times New Roman" w:eastAsia="Times New Roman" w:hAnsi="Times New Roman" w:cs="Times New Roman"/>
          <w:kern w:val="0"/>
          <w14:ligatures w14:val="none"/>
        </w:rPr>
        <w:t>Vc</w:t>
      </w:r>
      <w:proofErr w:type="spellEnd"/>
      <w:r w:rsidRPr="00836144">
        <w:rPr>
          <w:rFonts w:ascii="Times New Roman" w:eastAsia="Times New Roman" w:hAnsi="Times New Roman" w:cs="Times New Roman"/>
          <w:kern w:val="0"/>
          <w14:ligatures w14:val="none"/>
        </w:rPr>
        <w:t xml:space="preserve"> central population mean (L) = 58.4 *(</w:t>
      </w:r>
      <w:proofErr w:type="spellStart"/>
      <w:r w:rsidRPr="00836144">
        <w:rPr>
          <w:rFonts w:ascii="Times New Roman" w:eastAsia="Times New Roman" w:hAnsi="Times New Roman" w:cs="Times New Roman"/>
          <w:kern w:val="0"/>
          <w14:ligatures w14:val="none"/>
        </w:rPr>
        <w:t>weight</w:t>
      </w:r>
      <w:r w:rsidRPr="00836144">
        <w:rPr>
          <w:rFonts w:ascii="Times New Roman" w:eastAsia="Times New Roman" w:hAnsi="Times New Roman" w:cs="Times New Roman"/>
          <w:kern w:val="0"/>
          <w:vertAlign w:val="subscript"/>
          <w14:ligatures w14:val="none"/>
        </w:rPr>
        <w:t>kg</w:t>
      </w:r>
      <w:proofErr w:type="spellEnd"/>
      <w:r w:rsidRPr="00836144">
        <w:rPr>
          <w:rFonts w:ascii="Times New Roman" w:eastAsia="Times New Roman" w:hAnsi="Times New Roman" w:cs="Times New Roman"/>
          <w:kern w:val="0"/>
          <w:vertAlign w:val="subscript"/>
          <w14:ligatures w14:val="none"/>
        </w:rPr>
        <w:t xml:space="preserve"> </w:t>
      </w:r>
      <w:r w:rsidRPr="00836144">
        <w:rPr>
          <w:rFonts w:ascii="Times New Roman" w:eastAsia="Times New Roman" w:hAnsi="Times New Roman" w:cs="Times New Roman"/>
          <w:kern w:val="0"/>
          <w14:ligatures w14:val="none"/>
        </w:rPr>
        <w:t xml:space="preserve">/ 70), </w:t>
      </w:r>
      <w:proofErr w:type="spellStart"/>
      <w:r w:rsidRPr="00836144">
        <w:rPr>
          <w:rFonts w:ascii="Times New Roman" w:eastAsia="Times New Roman" w:hAnsi="Times New Roman" w:cs="Times New Roman"/>
          <w:kern w:val="0"/>
          <w14:ligatures w14:val="none"/>
        </w:rPr>
        <w:t>Vdperipheral</w:t>
      </w:r>
      <w:proofErr w:type="spellEnd"/>
      <w:r w:rsidRPr="00836144">
        <w:rPr>
          <w:rFonts w:ascii="Times New Roman" w:eastAsia="Times New Roman" w:hAnsi="Times New Roman" w:cs="Times New Roman"/>
          <w:kern w:val="0"/>
          <w14:ligatures w14:val="none"/>
        </w:rPr>
        <w:t xml:space="preserve"> population mean 38.4 (L), and Cl distribution population mean 6.5 (L/h). Coefficients of variation were 0.3 for </w:t>
      </w:r>
      <w:proofErr w:type="spellStart"/>
      <w:r w:rsidRPr="00836144">
        <w:rPr>
          <w:rFonts w:ascii="Times New Roman" w:eastAsia="Times New Roman" w:hAnsi="Times New Roman" w:cs="Times New Roman"/>
          <w:kern w:val="0"/>
          <w14:ligatures w14:val="none"/>
        </w:rPr>
        <w:t>Vc</w:t>
      </w:r>
      <w:proofErr w:type="spellEnd"/>
      <w:r w:rsidRPr="00836144">
        <w:rPr>
          <w:rFonts w:ascii="Times New Roman" w:eastAsia="Times New Roman" w:hAnsi="Times New Roman" w:cs="Times New Roman"/>
          <w:kern w:val="0"/>
          <w14:ligatures w14:val="none"/>
        </w:rPr>
        <w:t xml:space="preserve">, </w:t>
      </w:r>
      <w:proofErr w:type="spellStart"/>
      <w:r w:rsidRPr="00836144">
        <w:rPr>
          <w:rFonts w:ascii="Times New Roman" w:eastAsia="Times New Roman" w:hAnsi="Times New Roman" w:cs="Times New Roman"/>
          <w:kern w:val="0"/>
          <w14:ligatures w14:val="none"/>
        </w:rPr>
        <w:t>Vp</w:t>
      </w:r>
      <w:proofErr w:type="spellEnd"/>
      <w:r w:rsidRPr="00836144">
        <w:rPr>
          <w:rFonts w:ascii="Times New Roman" w:eastAsia="Times New Roman" w:hAnsi="Times New Roman" w:cs="Times New Roman"/>
          <w:kern w:val="0"/>
          <w14:ligatures w14:val="none"/>
        </w:rPr>
        <w:t xml:space="preserve">, </w:t>
      </w:r>
      <w:r w:rsidR="0073605F">
        <w:rPr>
          <w:rFonts w:ascii="Times New Roman" w:eastAsia="Times New Roman" w:hAnsi="Times New Roman" w:cs="Times New Roman"/>
          <w:kern w:val="0"/>
          <w14:ligatures w14:val="none"/>
        </w:rPr>
        <w:t xml:space="preserve">and </w:t>
      </w:r>
      <w:proofErr w:type="spellStart"/>
      <w:r w:rsidRPr="00836144">
        <w:rPr>
          <w:rFonts w:ascii="Times New Roman" w:eastAsia="Times New Roman" w:hAnsi="Times New Roman" w:cs="Times New Roman"/>
          <w:kern w:val="0"/>
          <w14:ligatures w14:val="none"/>
        </w:rPr>
        <w:t>Cltotal</w:t>
      </w:r>
      <w:proofErr w:type="spellEnd"/>
      <w:r w:rsidRPr="00836144">
        <w:rPr>
          <w:rFonts w:ascii="Times New Roman" w:eastAsia="Times New Roman" w:hAnsi="Times New Roman" w:cs="Times New Roman"/>
          <w:kern w:val="0"/>
          <w14:ligatures w14:val="none"/>
        </w:rPr>
        <w:t xml:space="preserve">, 0.4 for </w:t>
      </w:r>
      <w:proofErr w:type="spellStart"/>
      <w:r w:rsidRPr="00836144">
        <w:rPr>
          <w:rFonts w:ascii="Times New Roman" w:eastAsia="Times New Roman" w:hAnsi="Times New Roman" w:cs="Times New Roman"/>
          <w:kern w:val="0"/>
          <w14:ligatures w14:val="none"/>
        </w:rPr>
        <w:t>Cld</w:t>
      </w:r>
      <w:proofErr w:type="spellEnd"/>
      <w:r w:rsidRPr="00836144">
        <w:rPr>
          <w:rFonts w:ascii="Times New Roman" w:eastAsia="Times New Roman" w:hAnsi="Times New Roman" w:cs="Times New Roman"/>
          <w:kern w:val="0"/>
          <w14:ligatures w14:val="none"/>
        </w:rPr>
        <w:t>, and 0.1 for assay variability.</w:t>
      </w:r>
    </w:p>
    <w:p w14:paraId="4C3F3861" w14:textId="77777777"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Statistical Calculations</w:t>
      </w:r>
    </w:p>
    <w:p w14:paraId="7AD55AC5" w14:textId="795C9B72" w:rsidR="00E555CA" w:rsidRPr="00E555CA" w:rsidRDefault="00E555CA" w:rsidP="00E555CA">
      <w:pPr>
        <w:pStyle w:val="NormalWeb"/>
        <w:spacing w:line="300" w:lineRule="atLeast"/>
      </w:pPr>
      <w:r w:rsidRPr="00E555CA">
        <w:t>The accuracy and precision of AUC estimates produced by each dosing method were evaluated using several statistical measures. Root mean squared error (RMSE) was calculated to assess the precision of each method, while bias was used to quantify accuracy.</w:t>
      </w:r>
      <w:r w:rsidR="00161DF3">
        <w:rPr>
          <w:vertAlign w:val="superscript"/>
        </w:rPr>
        <w:t>26</w:t>
      </w:r>
      <w:r w:rsidRPr="00E555CA">
        <w:t xml:space="preserve"> Clinical decision agreement (CDA) was determined by the proportion of predicted AUC values that matched the true AUC within clinically relevant brackets: less than 400, 400 to 600, and greater than 600 </w:t>
      </w:r>
      <w:proofErr w:type="spellStart"/>
      <w:r w:rsidRPr="00E555CA">
        <w:t>mg·h</w:t>
      </w:r>
      <w:proofErr w:type="spellEnd"/>
      <w:r w:rsidRPr="00E555CA">
        <w:t>/L. This categorical approach reflects the practical thresholds used in vancomycin therapeutic drug monitoring.</w:t>
      </w:r>
    </w:p>
    <w:p w14:paraId="660838E4" w14:textId="77777777" w:rsidR="00E555CA" w:rsidRPr="00E555CA" w:rsidRDefault="00E555CA" w:rsidP="00E555CA">
      <w:pPr>
        <w:pStyle w:val="NormalWeb"/>
        <w:spacing w:line="300" w:lineRule="atLeast"/>
      </w:pPr>
      <w:r w:rsidRPr="00E555CA">
        <w:t>Agreement between predicted and actual AUC values was further visualized using Bland-Altman plots, which included 95% confidence intervals. Additional statistical analyses included McNemar’s Chi-Square test for categorical agreement, paired t-tests for mean differences, and calculation of Pearson’s correlation coefficient (r) to assess linear association. Percent AUC error was also computed to provide a standardized measure of deviation.</w:t>
      </w:r>
    </w:p>
    <w:p w14:paraId="647B7072" w14:textId="77777777" w:rsidR="00E555CA" w:rsidRPr="00E555CA" w:rsidRDefault="00E555CA" w:rsidP="00E555CA">
      <w:pPr>
        <w:pStyle w:val="NormalWeb"/>
        <w:spacing w:line="300" w:lineRule="atLeast"/>
      </w:pPr>
      <w:r w:rsidRPr="00E555CA">
        <w:t>These statistical approaches collectively enabled a comprehensive comparison of dosing methods, focusing on both their quantitative performance and their clinical relevance for vancomycin monitoring.</w:t>
      </w:r>
    </w:p>
    <w:p w14:paraId="33D19D6A" w14:textId="77777777" w:rsidR="003B2CDF" w:rsidRDefault="003B2CDF" w:rsidP="008361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98A704E" w14:textId="1B735D5E" w:rsidR="00836144" w:rsidRPr="00836144" w:rsidRDefault="00836144" w:rsidP="008361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6144">
        <w:rPr>
          <w:rFonts w:ascii="Times New Roman" w:eastAsia="Times New Roman" w:hAnsi="Times New Roman" w:cs="Times New Roman"/>
          <w:b/>
          <w:bCs/>
          <w:kern w:val="0"/>
          <w:sz w:val="36"/>
          <w:szCs w:val="36"/>
          <w14:ligatures w14:val="none"/>
        </w:rPr>
        <w:lastRenderedPageBreak/>
        <w:t>Results</w:t>
      </w:r>
    </w:p>
    <w:p w14:paraId="3F033B13" w14:textId="2F362385"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P</w:t>
      </w:r>
      <w:r w:rsidRPr="00836144">
        <w:rPr>
          <w:rFonts w:ascii="Times New Roman" w:eastAsia="Times New Roman" w:hAnsi="Times New Roman" w:cs="Times New Roman"/>
          <w:b/>
          <w:bCs/>
          <w:kern w:val="0"/>
          <w14:ligatures w14:val="none"/>
        </w:rPr>
        <w:t>eak-Trough Method Comparisons</w:t>
      </w:r>
    </w:p>
    <w:p w14:paraId="79FE2077" w14:textId="32570C0F"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In comparing the one-compartment </w:t>
      </w:r>
      <w:r w:rsidRPr="009E5896">
        <w:rPr>
          <w:rFonts w:ascii="Times New Roman" w:eastAsia="Times New Roman" w:hAnsi="Times New Roman" w:cs="Times New Roman"/>
          <w:kern w:val="0"/>
          <w14:ligatures w14:val="none"/>
        </w:rPr>
        <w:t>analytic peak-trough method</w:t>
      </w:r>
      <w:r w:rsidRPr="00836144">
        <w:rPr>
          <w:rFonts w:ascii="Times New Roman" w:eastAsia="Times New Roman" w:hAnsi="Times New Roman" w:cs="Times New Roman"/>
          <w:kern w:val="0"/>
          <w14:ligatures w14:val="none"/>
        </w:rPr>
        <w:t xml:space="preserve"> with the </w:t>
      </w:r>
      <w:r w:rsidRPr="009E5896">
        <w:rPr>
          <w:rFonts w:ascii="Times New Roman" w:eastAsia="Times New Roman" w:hAnsi="Times New Roman" w:cs="Times New Roman"/>
          <w:kern w:val="0"/>
          <w14:ligatures w14:val="none"/>
        </w:rPr>
        <w:t xml:space="preserve">Bayesian one-compartment peak-trough </w:t>
      </w:r>
      <w:r w:rsidRPr="00836144">
        <w:rPr>
          <w:rFonts w:ascii="Times New Roman" w:eastAsia="Times New Roman" w:hAnsi="Times New Roman" w:cs="Times New Roman"/>
          <w:kern w:val="0"/>
          <w14:ligatures w14:val="none"/>
        </w:rPr>
        <w:t xml:space="preserve">approach, significant differences were observed in area under the curve (AUC) predictions, with mean differences of </w:t>
      </w:r>
      <w:r w:rsidRPr="00836144">
        <w:rPr>
          <w:rFonts w:ascii="Times New Roman" w:eastAsia="Times New Roman" w:hAnsi="Times New Roman" w:cs="Times New Roman"/>
          <w:b/>
          <w:bCs/>
          <w:kern w:val="0"/>
          <w14:ligatures w14:val="none"/>
        </w:rPr>
        <w:t>-</w:t>
      </w:r>
      <w:r w:rsidRPr="009E5896">
        <w:rPr>
          <w:rFonts w:ascii="Times New Roman" w:eastAsia="Times New Roman" w:hAnsi="Times New Roman" w:cs="Times New Roman"/>
          <w:kern w:val="0"/>
          <w14:ligatures w14:val="none"/>
        </w:rPr>
        <w:t>3.46</w:t>
      </w:r>
      <w:r w:rsidRPr="00836144">
        <w:rPr>
          <w:rFonts w:ascii="Times New Roman" w:eastAsia="Times New Roman" w:hAnsi="Times New Roman" w:cs="Times New Roman"/>
          <w:kern w:val="0"/>
          <w14:ligatures w14:val="none"/>
        </w:rPr>
        <w:t xml:space="preserve"> for the analytic method and </w:t>
      </w:r>
      <w:r w:rsidRPr="009E5896">
        <w:rPr>
          <w:rFonts w:ascii="Times New Roman" w:eastAsia="Times New Roman" w:hAnsi="Times New Roman" w:cs="Times New Roman"/>
          <w:kern w:val="0"/>
          <w14:ligatures w14:val="none"/>
        </w:rPr>
        <w:t>-6.86</w:t>
      </w:r>
      <w:r w:rsidRPr="00836144">
        <w:rPr>
          <w:rFonts w:ascii="Times New Roman" w:eastAsia="Times New Roman" w:hAnsi="Times New Roman" w:cs="Times New Roman"/>
          <w:kern w:val="0"/>
          <w14:ligatures w14:val="none"/>
        </w:rPr>
        <w:t xml:space="preserve"> for the Bayesian method (paired t-test: t = 32.902, p &lt; 0.001, p &lt; 0.001 Bonferroni corrected). Root mean square error (RMSE) values </w:t>
      </w:r>
      <w:r w:rsidRPr="0072181A">
        <w:rPr>
          <w:rFonts w:ascii="Times New Roman" w:eastAsia="Times New Roman" w:hAnsi="Times New Roman" w:cs="Times New Roman"/>
          <w:kern w:val="0"/>
          <w14:ligatures w14:val="none"/>
        </w:rPr>
        <w:t>were 44.72 and 40.78</w:t>
      </w:r>
      <w:r w:rsidRPr="00836144">
        <w:rPr>
          <w:rFonts w:ascii="Times New Roman" w:eastAsia="Times New Roman" w:hAnsi="Times New Roman" w:cs="Times New Roman"/>
          <w:kern w:val="0"/>
          <w14:ligatures w14:val="none"/>
        </w:rPr>
        <w:t xml:space="preserve">, respectively, with 95% confidence intervals (CI) of (-90.86, 83.93) and (-85.65, 71.94), and Pearson's correlation coefficients (r) of 0.976 and 0.979. For clearance (Cl), mean differences were -0.07 and -0.04 (paired t-test: t = -29.266, p &lt; 0.001, p &lt; 0.001 Bonferroni corrected), with RMSE values of 0.40 and 0.33, and 95% CI of (-0.83, 0.69) and (-0.68, 0.60).  The CDA was 86.8% for analytic method and 88.3% for the Bayesian the </w:t>
      </w:r>
      <w:r w:rsidR="00A102EB">
        <w:rPr>
          <w:rFonts w:ascii="Times New Roman" w:eastAsia="Times New Roman" w:hAnsi="Times New Roman" w:cs="Times New Roman"/>
          <w:kern w:val="0"/>
          <w14:ligatures w14:val="none"/>
        </w:rPr>
        <w:t>one</w:t>
      </w:r>
      <w:r w:rsidRPr="00836144">
        <w:rPr>
          <w:rFonts w:ascii="Times New Roman" w:eastAsia="Times New Roman" w:hAnsi="Times New Roman" w:cs="Times New Roman"/>
          <w:kern w:val="0"/>
          <w14:ligatures w14:val="none"/>
        </w:rPr>
        <w:t xml:space="preserve">-compartment method. Clinical </w:t>
      </w:r>
      <w:r w:rsidR="00A102EB" w:rsidRPr="00836144">
        <w:rPr>
          <w:rFonts w:ascii="Times New Roman" w:eastAsia="Times New Roman" w:hAnsi="Times New Roman" w:cs="Times New Roman"/>
          <w:kern w:val="0"/>
          <w14:ligatures w14:val="none"/>
        </w:rPr>
        <w:t>decision</w:t>
      </w:r>
      <w:r w:rsidRPr="00836144">
        <w:rPr>
          <w:rFonts w:ascii="Times New Roman" w:eastAsia="Times New Roman" w:hAnsi="Times New Roman" w:cs="Times New Roman"/>
          <w:kern w:val="0"/>
          <w14:ligatures w14:val="none"/>
        </w:rPr>
        <w:t xml:space="preserve"> agreement (CDA) classifications showed 25,865 for the analytic method and 26,279 for the Bayesian method (McNemar's test: χ² = 127.863, p &lt; 0.001, p &lt; 0.001, Bonferroni corrected). The Bayesian one-compartment method was superior. </w:t>
      </w:r>
    </w:p>
    <w:p w14:paraId="253069E5" w14:textId="49B897CF" w:rsid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When evaluating the </w:t>
      </w:r>
      <w:r w:rsidRPr="009E5896">
        <w:rPr>
          <w:rFonts w:ascii="Times New Roman" w:eastAsia="Times New Roman" w:hAnsi="Times New Roman" w:cs="Times New Roman"/>
          <w:kern w:val="0"/>
          <w14:ligatures w14:val="none"/>
        </w:rPr>
        <w:t>one-compartment Bayesian peak-trough</w:t>
      </w:r>
      <w:r w:rsidRPr="00836144">
        <w:rPr>
          <w:rFonts w:ascii="Times New Roman" w:eastAsia="Times New Roman" w:hAnsi="Times New Roman" w:cs="Times New Roman"/>
          <w:kern w:val="0"/>
          <w14:ligatures w14:val="none"/>
        </w:rPr>
        <w:t xml:space="preserve"> versus the </w:t>
      </w:r>
      <w:r w:rsidRPr="009E5896">
        <w:rPr>
          <w:rFonts w:ascii="Times New Roman" w:eastAsia="Times New Roman" w:hAnsi="Times New Roman" w:cs="Times New Roman"/>
          <w:kern w:val="0"/>
          <w14:ligatures w14:val="none"/>
        </w:rPr>
        <w:t>two-compartment Bayesian peak-trough</w:t>
      </w:r>
      <w:r w:rsidRPr="00836144">
        <w:rPr>
          <w:rFonts w:ascii="Times New Roman" w:eastAsia="Times New Roman" w:hAnsi="Times New Roman" w:cs="Times New Roman"/>
          <w:kern w:val="0"/>
          <w14:ligatures w14:val="none"/>
        </w:rPr>
        <w:t xml:space="preserve"> models, AUC mean differences were -6.86 and -5.39 (paired t-test: t = -4.746, p &lt; 0.001, p &lt; 0.001 Bonferroni corrected), with RMSE values of </w:t>
      </w:r>
      <w:r w:rsidRPr="009E5896">
        <w:rPr>
          <w:rFonts w:ascii="Times New Roman" w:eastAsia="Times New Roman" w:hAnsi="Times New Roman" w:cs="Times New Roman"/>
          <w:kern w:val="0"/>
          <w14:ligatures w14:val="none"/>
        </w:rPr>
        <w:t>40.78 and 40.75</w:t>
      </w:r>
      <w:r w:rsidRPr="00836144">
        <w:rPr>
          <w:rFonts w:ascii="Times New Roman" w:eastAsia="Times New Roman" w:hAnsi="Times New Roman" w:cs="Times New Roman"/>
          <w:kern w:val="0"/>
          <w14:ligatures w14:val="none"/>
        </w:rPr>
        <w:t xml:space="preserve">, 95% CI of (-85.65, 71.94) and (-84.57, 73.78), and r values of 0.979 for both. Cl mean differences were -0.04 and -0.02 (paired t-test: t = -7.727, p &lt; 0.001, p &lt; 0.001 Bonferroni corrected), with RMSE of 0.33 for both, and 95% CI of (-0.68, 0.60) and (-0.66, 0.61). The CDA was 88.2% for one-compartment Bayesian method and 88.3% for the two-compartment Bayesian method. </w:t>
      </w:r>
      <w:r w:rsidR="00E555CA">
        <w:rPr>
          <w:rFonts w:ascii="Times New Roman" w:eastAsia="Times New Roman" w:hAnsi="Times New Roman" w:cs="Times New Roman"/>
          <w:kern w:val="0"/>
          <w14:ligatures w14:val="none"/>
        </w:rPr>
        <w:t xml:space="preserve"> </w:t>
      </w:r>
      <w:r w:rsidRPr="00836144">
        <w:rPr>
          <w:rFonts w:ascii="Times New Roman" w:eastAsia="Times New Roman" w:hAnsi="Times New Roman" w:cs="Times New Roman"/>
          <w:kern w:val="0"/>
          <w14:ligatures w14:val="none"/>
        </w:rPr>
        <w:t xml:space="preserve">CDA classifications were 26,279 and 26,305 (McNemar's test: χ² = 0.134, p = 0.714, Bonferroni corrected p = 1.000). The methods were equivalent as the CDA were not statistically different, and AUC 95% CI and AUC RMSE were similar. </w:t>
      </w:r>
    </w:p>
    <w:p w14:paraId="20CBA712" w14:textId="77777777" w:rsidR="005C6AD7" w:rsidRPr="005C6AD7" w:rsidRDefault="005C6AD7" w:rsidP="005C6AD7">
      <w:pPr>
        <w:spacing w:after="0" w:line="300" w:lineRule="atLeast"/>
        <w:rPr>
          <w:rFonts w:ascii="Times New Roman" w:eastAsia="Times New Roman" w:hAnsi="Times New Roman" w:cs="Times New Roman"/>
          <w:kern w:val="0"/>
          <w14:ligatures w14:val="none"/>
        </w:rPr>
      </w:pPr>
      <w:r w:rsidRPr="005C6AD7">
        <w:rPr>
          <w:rFonts w:ascii="Times New Roman" w:eastAsia="Times New Roman" w:hAnsi="Times New Roman" w:cs="Times New Roman"/>
          <w:kern w:val="0"/>
          <w14:ligatures w14:val="none"/>
        </w:rPr>
        <w:t>The Bayesian one-compartment peak-trough method demonstrated superior performance compared to the analytic peak-trough method, as evidenced by its lower root mean squared error (RMSE), narrower 95% confidence intervals, and higher clinical decision agreement (CDA). In addition, the Bayesian one- and two-compartment peak-trough methods yielded statistically equivalent results, with nearly identical RMSE, confidence intervals, and CDA values, indicating no significant advantage of the two-compartment model under these conditions.</w:t>
      </w:r>
    </w:p>
    <w:p w14:paraId="420BE0BC" w14:textId="55D032B5"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Trough Method Comparisons</w:t>
      </w:r>
    </w:p>
    <w:p w14:paraId="5CB9696E" w14:textId="3EB52C18"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For the </w:t>
      </w:r>
      <w:r w:rsidRPr="009E5896">
        <w:rPr>
          <w:rFonts w:ascii="Times New Roman" w:eastAsia="Times New Roman" w:hAnsi="Times New Roman" w:cs="Times New Roman"/>
          <w:kern w:val="0"/>
          <w14:ligatures w14:val="none"/>
        </w:rPr>
        <w:t>trough-only</w:t>
      </w:r>
      <w:r w:rsidRPr="00836144">
        <w:rPr>
          <w:rFonts w:ascii="Times New Roman" w:eastAsia="Times New Roman" w:hAnsi="Times New Roman" w:cs="Times New Roman"/>
          <w:kern w:val="0"/>
          <w14:ligatures w14:val="none"/>
        </w:rPr>
        <w:t xml:space="preserve"> comparisons between </w:t>
      </w:r>
      <w:r w:rsidRPr="009E5896">
        <w:rPr>
          <w:rFonts w:ascii="Times New Roman" w:eastAsia="Times New Roman" w:hAnsi="Times New Roman" w:cs="Times New Roman"/>
          <w:kern w:val="0"/>
          <w14:ligatures w14:val="none"/>
        </w:rPr>
        <w:t xml:space="preserve">one-compartment Bayesian and two-compartment Bayesian models, </w:t>
      </w:r>
      <w:r w:rsidRPr="00836144">
        <w:rPr>
          <w:rFonts w:ascii="Times New Roman" w:eastAsia="Times New Roman" w:hAnsi="Times New Roman" w:cs="Times New Roman"/>
          <w:kern w:val="0"/>
          <w14:ligatures w14:val="none"/>
        </w:rPr>
        <w:t xml:space="preserve">AUC mean differences were </w:t>
      </w:r>
      <w:r w:rsidRPr="009E5896">
        <w:rPr>
          <w:rFonts w:ascii="Times New Roman" w:eastAsia="Times New Roman" w:hAnsi="Times New Roman" w:cs="Times New Roman"/>
          <w:kern w:val="0"/>
          <w14:ligatures w14:val="none"/>
        </w:rPr>
        <w:t xml:space="preserve">-10.22 and -5.24 </w:t>
      </w:r>
      <w:r w:rsidRPr="00836144">
        <w:rPr>
          <w:rFonts w:ascii="Times New Roman" w:eastAsia="Times New Roman" w:hAnsi="Times New Roman" w:cs="Times New Roman"/>
          <w:kern w:val="0"/>
          <w14:ligatures w14:val="none"/>
        </w:rPr>
        <w:t>(paired t-test: t = -14.379, p &lt; 0.001, Bonferroni corrected), with RMSE of</w:t>
      </w:r>
      <w:r w:rsidRPr="00836144">
        <w:rPr>
          <w:rFonts w:ascii="Times New Roman" w:eastAsia="Times New Roman" w:hAnsi="Times New Roman" w:cs="Times New Roman"/>
          <w:b/>
          <w:bCs/>
          <w:kern w:val="0"/>
          <w14:ligatures w14:val="none"/>
        </w:rPr>
        <w:t xml:space="preserve"> </w:t>
      </w:r>
      <w:r w:rsidRPr="009E5896">
        <w:rPr>
          <w:rFonts w:ascii="Times New Roman" w:eastAsia="Times New Roman" w:hAnsi="Times New Roman" w:cs="Times New Roman"/>
          <w:kern w:val="0"/>
          <w14:ligatures w14:val="none"/>
        </w:rPr>
        <w:t>56.34 and 55.33</w:t>
      </w:r>
      <w:r w:rsidRPr="00836144">
        <w:rPr>
          <w:rFonts w:ascii="Times New Roman" w:eastAsia="Times New Roman" w:hAnsi="Times New Roman" w:cs="Times New Roman"/>
          <w:kern w:val="0"/>
          <w14:ligatures w14:val="none"/>
        </w:rPr>
        <w:t>, 95% CI of (-118.81, 98.38) and (-113.20, 102.73), and r values of 0.961 and 0.960. Cl mean differences were 0.01 for both (paired t-test: t = 3.795, p &lt; 0.001, Bonferroni corrected p &lt;0.001), with RMSE of 0.46 and 0.44, and 95% CI of (-0.88, 0.91) and (-0.86, 0.87). The CDA was 83.5 % for tough-only one-compartment Bayesian method and 83.5% for the tough-only two-compartment Bayesian method.CDA classifications were 24,899 and 24,897 (McNemar's test: χ² = 0.000, p = 0.988). These methods were equivalent as CDA w</w:t>
      </w:r>
      <w:r w:rsidR="009E5896">
        <w:rPr>
          <w:rFonts w:ascii="Times New Roman" w:eastAsia="Times New Roman" w:hAnsi="Times New Roman" w:cs="Times New Roman"/>
          <w:kern w:val="0"/>
          <w14:ligatures w14:val="none"/>
        </w:rPr>
        <w:t>ere</w:t>
      </w:r>
      <w:r w:rsidRPr="00836144">
        <w:rPr>
          <w:rFonts w:ascii="Times New Roman" w:eastAsia="Times New Roman" w:hAnsi="Times New Roman" w:cs="Times New Roman"/>
          <w:kern w:val="0"/>
          <w14:ligatures w14:val="none"/>
        </w:rPr>
        <w:t xml:space="preserve"> not statistically different and AUC RMSE were similar.</w:t>
      </w:r>
    </w:p>
    <w:p w14:paraId="500E98B2" w14:textId="5463912D" w:rsid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In the comparison of </w:t>
      </w:r>
      <w:r w:rsidRPr="009E5896">
        <w:rPr>
          <w:rFonts w:ascii="Times New Roman" w:eastAsia="Times New Roman" w:hAnsi="Times New Roman" w:cs="Times New Roman"/>
          <w:kern w:val="0"/>
          <w14:ligatures w14:val="none"/>
        </w:rPr>
        <w:t>one-compartment fixed volume of distribution (VD) trough</w:t>
      </w:r>
      <w:r w:rsidRPr="00836144">
        <w:rPr>
          <w:rFonts w:ascii="Times New Roman" w:eastAsia="Times New Roman" w:hAnsi="Times New Roman" w:cs="Times New Roman"/>
          <w:kern w:val="0"/>
          <w14:ligatures w14:val="none"/>
        </w:rPr>
        <w:t xml:space="preserve"> versus </w:t>
      </w:r>
      <w:r w:rsidRPr="009E5896">
        <w:rPr>
          <w:rFonts w:ascii="Times New Roman" w:eastAsia="Times New Roman" w:hAnsi="Times New Roman" w:cs="Times New Roman"/>
          <w:kern w:val="0"/>
          <w14:ligatures w14:val="none"/>
        </w:rPr>
        <w:t>two-compartment Bayesian trough</w:t>
      </w:r>
      <w:r w:rsidRPr="00836144">
        <w:rPr>
          <w:rFonts w:ascii="Times New Roman" w:eastAsia="Times New Roman" w:hAnsi="Times New Roman" w:cs="Times New Roman"/>
          <w:kern w:val="0"/>
          <w14:ligatures w14:val="none"/>
        </w:rPr>
        <w:t xml:space="preserve">, AUC mean differences were </w:t>
      </w:r>
      <w:r w:rsidRPr="009E5896">
        <w:rPr>
          <w:rFonts w:ascii="Times New Roman" w:eastAsia="Times New Roman" w:hAnsi="Times New Roman" w:cs="Times New Roman"/>
          <w:kern w:val="0"/>
          <w14:ligatures w14:val="none"/>
        </w:rPr>
        <w:t>-15.03 and -5.24</w:t>
      </w:r>
      <w:r w:rsidRPr="00836144">
        <w:rPr>
          <w:rFonts w:ascii="Times New Roman" w:eastAsia="Times New Roman" w:hAnsi="Times New Roman" w:cs="Times New Roman"/>
          <w:kern w:val="0"/>
          <w14:ligatures w14:val="none"/>
        </w:rPr>
        <w:t xml:space="preserve"> (paired t-test: t = -26.825, p &lt; 0.001, Bonferroni corrected), with RMSE of </w:t>
      </w:r>
      <w:r w:rsidRPr="009E5896">
        <w:rPr>
          <w:rFonts w:ascii="Times New Roman" w:eastAsia="Times New Roman" w:hAnsi="Times New Roman" w:cs="Times New Roman"/>
          <w:kern w:val="0"/>
          <w14:ligatures w14:val="none"/>
        </w:rPr>
        <w:t>58.01 and 55.33</w:t>
      </w:r>
      <w:r w:rsidRPr="00836144">
        <w:rPr>
          <w:rFonts w:ascii="Times New Roman" w:eastAsia="Times New Roman" w:hAnsi="Times New Roman" w:cs="Times New Roman"/>
          <w:kern w:val="0"/>
          <w14:ligatures w14:val="none"/>
        </w:rPr>
        <w:t xml:space="preserve">, 95% CI of (-124.85, 94.79) and (-113.20, 102.73), and r values of 0.961 and 0.960. Cl mean differences were 0.18 and 0.01 (paired t-test: t = 57.750, p &lt; 0.001, Bonferroni corrected p &lt; 0.001), with RMSE of 0.56 and 0.44, and 95% CI of (-0.86, 1.22) and (-0.86, 0.87). The CDA was 82.7 % for one-compartment fixed volume of distribution method and 83.5% for the tough-only two-compartment Bayesian trough method.CDA classifications were 24,666 and 24,897 (McNemar's test: statistic = </w:t>
      </w:r>
      <w:r w:rsidRPr="00836144">
        <w:rPr>
          <w:rFonts w:ascii="Times New Roman" w:eastAsia="Times New Roman" w:hAnsi="Times New Roman" w:cs="Times New Roman"/>
          <w:kern w:val="0"/>
          <w14:ligatures w14:val="none"/>
        </w:rPr>
        <w:lastRenderedPageBreak/>
        <w:t>10.036, p &lt; 0.01</w:t>
      </w:r>
      <w:r w:rsidR="00A102EB">
        <w:rPr>
          <w:rFonts w:ascii="Times New Roman" w:eastAsia="Times New Roman" w:hAnsi="Times New Roman" w:cs="Times New Roman"/>
          <w:kern w:val="0"/>
          <w14:ligatures w14:val="none"/>
        </w:rPr>
        <w:t>, Bonferroni corrected p &lt; 0.01</w:t>
      </w:r>
      <w:r w:rsidRPr="00836144">
        <w:rPr>
          <w:rFonts w:ascii="Times New Roman" w:eastAsia="Times New Roman" w:hAnsi="Times New Roman" w:cs="Times New Roman"/>
          <w:kern w:val="0"/>
          <w14:ligatures w14:val="none"/>
        </w:rPr>
        <w:t xml:space="preserve">). The two-compartment Bayesian trough method was superior as CDA was </w:t>
      </w:r>
      <w:r w:rsidR="009E5896" w:rsidRPr="00836144">
        <w:rPr>
          <w:rFonts w:ascii="Times New Roman" w:eastAsia="Times New Roman" w:hAnsi="Times New Roman" w:cs="Times New Roman"/>
          <w:kern w:val="0"/>
          <w14:ligatures w14:val="none"/>
        </w:rPr>
        <w:t>statistically</w:t>
      </w:r>
      <w:r w:rsidRPr="00836144">
        <w:rPr>
          <w:rFonts w:ascii="Times New Roman" w:eastAsia="Times New Roman" w:hAnsi="Times New Roman" w:cs="Times New Roman"/>
          <w:kern w:val="0"/>
          <w14:ligatures w14:val="none"/>
        </w:rPr>
        <w:t xml:space="preserve"> different, and 95% AUC CI and AUC RMSE were dissimilar. </w:t>
      </w:r>
    </w:p>
    <w:p w14:paraId="431269D4" w14:textId="77777777" w:rsidR="005C6AD7" w:rsidRPr="005C6AD7" w:rsidRDefault="005C6AD7" w:rsidP="005C6AD7">
      <w:pPr>
        <w:spacing w:after="0" w:line="300" w:lineRule="atLeast"/>
        <w:rPr>
          <w:rFonts w:ascii="Times New Roman" w:eastAsia="Times New Roman" w:hAnsi="Times New Roman" w:cs="Times New Roman"/>
          <w:kern w:val="0"/>
          <w14:ligatures w14:val="none"/>
        </w:rPr>
      </w:pPr>
      <w:r w:rsidRPr="005C6AD7">
        <w:rPr>
          <w:rFonts w:ascii="Times New Roman" w:eastAsia="Times New Roman" w:hAnsi="Times New Roman" w:cs="Times New Roman"/>
          <w:kern w:val="0"/>
          <w14:ligatures w14:val="none"/>
        </w:rPr>
        <w:t>The Bayesian one-compartment and two-compartment trough methods demonstrated comparable performance, as indicated by similar root mean squared error (RMSE), confidence intervals, and clinical decision agreement (CDA) values. However, the Bayesian two-compartment trough method outperformed the one-compartment fixed volume of distribution (</w:t>
      </w:r>
      <w:proofErr w:type="spellStart"/>
      <w:r w:rsidRPr="005C6AD7">
        <w:rPr>
          <w:rFonts w:ascii="Times New Roman" w:eastAsia="Times New Roman" w:hAnsi="Times New Roman" w:cs="Times New Roman"/>
          <w:kern w:val="0"/>
          <w14:ligatures w14:val="none"/>
        </w:rPr>
        <w:t>Vd</w:t>
      </w:r>
      <w:proofErr w:type="spellEnd"/>
      <w:r w:rsidRPr="005C6AD7">
        <w:rPr>
          <w:rFonts w:ascii="Times New Roman" w:eastAsia="Times New Roman" w:hAnsi="Times New Roman" w:cs="Times New Roman"/>
          <w:kern w:val="0"/>
          <w14:ligatures w14:val="none"/>
        </w:rPr>
        <w:t>) method, exhibiting lower RMSE, narrower confidence intervals, and higher CDA.</w:t>
      </w:r>
    </w:p>
    <w:p w14:paraId="618E5B34" w14:textId="77777777"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Trough to Peak-Trough Method Comparisons</w:t>
      </w:r>
    </w:p>
    <w:p w14:paraId="2D4DCA82" w14:textId="1C533427"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In the comparison of one-</w:t>
      </w:r>
      <w:r w:rsidRPr="009E5896">
        <w:rPr>
          <w:rFonts w:ascii="Times New Roman" w:eastAsia="Times New Roman" w:hAnsi="Times New Roman" w:cs="Times New Roman"/>
          <w:kern w:val="0"/>
          <w14:ligatures w14:val="none"/>
        </w:rPr>
        <w:t>compartment Bayesian trough versus one-compartment Bayesian peak-trough</w:t>
      </w:r>
      <w:r w:rsidRPr="00836144">
        <w:rPr>
          <w:rFonts w:ascii="Times New Roman" w:eastAsia="Times New Roman" w:hAnsi="Times New Roman" w:cs="Times New Roman"/>
          <w:kern w:val="0"/>
          <w14:ligatures w14:val="none"/>
        </w:rPr>
        <w:t>, AUC mean differences were -9.56 and -7.21 (paired t-test: t = -9.450, p &lt; 0.001, p &lt; 0.001, Bonferroni corrected), with RMSE of 56.83 and 41.29, 95% CI of (-119.36, 100.24) and (-86.89, 72.48), and r values of 0.960 and 0.979. Cl mean differences were -0.01 and -0.04 (paired t-test: t = 14.000, p &lt; 0.001, Bonferroni corrected p &lt; 0.001), with RMSE of 0.46 and 0.33, and 95% CI of (-0.91, 0.88) and (-0.68, 0.60). The CDA was 83.6% for 1 compartment Bayesian trough method and 88.2% for the 1 compartment Bayesian peak-trough method. CDA classifications were 25,090 and 26,475 (McNemar's test: statistic = 486.280, p &lt; 0.001,</w:t>
      </w:r>
      <w:r w:rsidR="009E5896">
        <w:rPr>
          <w:rFonts w:ascii="Times New Roman" w:eastAsia="Times New Roman" w:hAnsi="Times New Roman" w:cs="Times New Roman"/>
          <w:kern w:val="0"/>
          <w14:ligatures w14:val="none"/>
        </w:rPr>
        <w:t xml:space="preserve"> </w:t>
      </w:r>
      <w:r w:rsidRPr="00836144">
        <w:rPr>
          <w:rFonts w:ascii="Times New Roman" w:eastAsia="Times New Roman" w:hAnsi="Times New Roman" w:cs="Times New Roman"/>
          <w:kern w:val="0"/>
          <w14:ligatures w14:val="none"/>
        </w:rPr>
        <w:t>Bonferroni corrected: p &lt; 0.001). The one compartment Bayesian peak-trough was superior.</w:t>
      </w:r>
      <w:r w:rsidRPr="00836144">
        <w:rPr>
          <w:rFonts w:ascii="Times New Roman" w:eastAsia="Times New Roman" w:hAnsi="Times New Roman" w:cs="Times New Roman"/>
          <w:kern w:val="0"/>
          <w14:ligatures w14:val="none"/>
        </w:rPr>
        <w:br/>
      </w:r>
      <w:r w:rsidRPr="00836144">
        <w:rPr>
          <w:rFonts w:ascii="Times New Roman" w:eastAsia="Times New Roman" w:hAnsi="Times New Roman" w:cs="Times New Roman"/>
          <w:kern w:val="0"/>
          <w14:ligatures w14:val="none"/>
        </w:rPr>
        <w:br/>
        <w:t>In the comparison of one-</w:t>
      </w:r>
      <w:r w:rsidRPr="009E5896">
        <w:rPr>
          <w:rFonts w:ascii="Times New Roman" w:eastAsia="Times New Roman" w:hAnsi="Times New Roman" w:cs="Times New Roman"/>
          <w:kern w:val="0"/>
          <w14:ligatures w14:val="none"/>
        </w:rPr>
        <w:t>compartment Bayesian trough versus one-compartment analytical peak-trough</w:t>
      </w:r>
      <w:r w:rsidRPr="00836144">
        <w:rPr>
          <w:rFonts w:ascii="Times New Roman" w:eastAsia="Times New Roman" w:hAnsi="Times New Roman" w:cs="Times New Roman"/>
          <w:kern w:val="0"/>
          <w14:ligatures w14:val="none"/>
        </w:rPr>
        <w:t>, AUC mean differences were -9.56 and -3.91 (paired t-test: t = -16.441, p &lt; 0.001, p &lt; 0.001 Bonferroni corrected), with RMSE of 56.83 and 45.24, 95% CI of (-119.36, 100.24) and (-92.25, 84.43), and r values of 0.960 and 0.976. Cl mean differences were -0.01 and -0.07 (paired t-test: t = 18.668, p &lt; 0.001, Bonferroni corrected p &lt; 0.001), with RMSE of 0.46 and 0.40, and 95% CI of (-0.91, 0.88) and (-0.83, 0.69). The CDA was 83.6% for 1 compartment Bayesian trough method and 86.9% for the 1 compartment peak-trough method. CDA classifications were 25,090 and 26,057 (McNemar's test: statistic = 177.170, p &lt; 0.001, Bonferroni corrected: p &lt; 0.001). The one compartment analytic peak-trough method was superior.</w:t>
      </w:r>
      <w:r w:rsidRPr="00836144">
        <w:rPr>
          <w:rFonts w:ascii="Times New Roman" w:eastAsia="Times New Roman" w:hAnsi="Times New Roman" w:cs="Times New Roman"/>
          <w:kern w:val="0"/>
          <w14:ligatures w14:val="none"/>
        </w:rPr>
        <w:br/>
      </w:r>
      <w:r w:rsidRPr="00836144">
        <w:rPr>
          <w:rFonts w:ascii="Times New Roman" w:eastAsia="Times New Roman" w:hAnsi="Times New Roman" w:cs="Times New Roman"/>
          <w:kern w:val="0"/>
          <w14:ligatures w14:val="none"/>
        </w:rPr>
        <w:br/>
        <w:t xml:space="preserve">In the comparison of </w:t>
      </w:r>
      <w:r w:rsidRPr="001A7669">
        <w:rPr>
          <w:rFonts w:ascii="Times New Roman" w:eastAsia="Times New Roman" w:hAnsi="Times New Roman" w:cs="Times New Roman"/>
          <w:kern w:val="0"/>
          <w14:ligatures w14:val="none"/>
        </w:rPr>
        <w:t>two-compartment Bayesian trough versus one-compartment Bayesian peak-trough</w:t>
      </w:r>
      <w:r w:rsidRPr="00836144">
        <w:rPr>
          <w:rFonts w:ascii="Times New Roman" w:eastAsia="Times New Roman" w:hAnsi="Times New Roman" w:cs="Times New Roman"/>
          <w:kern w:val="0"/>
          <w14:ligatures w14:val="none"/>
        </w:rPr>
        <w:t xml:space="preserve">, AUC mean differences were -5.24 and -7.21 (paired t-test: t = 5.485, p &lt; 0.001, p &lt; 0.001 Bonferroni corrected), with RMSE of 55.67 and 41.29, 95% CI of (-113.86, 103.38) and (-86.89, 72.48), and r values of 0.961 and 0.979. Cl mean differences were -0.01 and -0.04 (paired t-test: t = 14.203, p &lt; 0.001, Bonferroni corrected p &lt; 0.001), with RMSE of 0.44 and 0.33, and 95% CI of (-0.87, 0.86) and (-0.68, 0.60). The CDA was 83.6% for 2 compartment Bayesian trough method and 88.2% for the 1 compartment Bayesian peak trough method. CDA classifications were 25,099 and 26,475 (McNemar's test: statistic = 352.597, p &lt; 0.001, Bonferroni corrected: p &lt; 0.001). The one compartment Bayesian peak-trough method was superior. </w:t>
      </w:r>
      <w:r w:rsidRPr="00836144">
        <w:rPr>
          <w:rFonts w:ascii="Times New Roman" w:eastAsia="Times New Roman" w:hAnsi="Times New Roman" w:cs="Times New Roman"/>
          <w:kern w:val="0"/>
          <w14:ligatures w14:val="none"/>
        </w:rPr>
        <w:br/>
      </w:r>
      <w:r w:rsidRPr="00836144">
        <w:rPr>
          <w:rFonts w:ascii="Times New Roman" w:eastAsia="Times New Roman" w:hAnsi="Times New Roman" w:cs="Times New Roman"/>
          <w:kern w:val="0"/>
          <w14:ligatures w14:val="none"/>
        </w:rPr>
        <w:br/>
        <w:t xml:space="preserve">In the comparison of </w:t>
      </w:r>
      <w:r w:rsidRPr="001A7669">
        <w:rPr>
          <w:rFonts w:ascii="Times New Roman" w:eastAsia="Times New Roman" w:hAnsi="Times New Roman" w:cs="Times New Roman"/>
          <w:kern w:val="0"/>
          <w14:ligatures w14:val="none"/>
        </w:rPr>
        <w:t>two-compartment Bayesian trough versus two-compartment Bayesian peak</w:t>
      </w:r>
      <w:r w:rsidR="00F66772">
        <w:rPr>
          <w:rFonts w:ascii="Times New Roman" w:eastAsia="Times New Roman" w:hAnsi="Times New Roman" w:cs="Times New Roman"/>
          <w:kern w:val="0"/>
          <w14:ligatures w14:val="none"/>
        </w:rPr>
        <w:t>-</w:t>
      </w:r>
      <w:r w:rsidRPr="001A7669">
        <w:rPr>
          <w:rFonts w:ascii="Times New Roman" w:eastAsia="Times New Roman" w:hAnsi="Times New Roman" w:cs="Times New Roman"/>
          <w:kern w:val="0"/>
          <w14:ligatures w14:val="none"/>
        </w:rPr>
        <w:t>trough</w:t>
      </w:r>
      <w:r w:rsidRPr="00836144">
        <w:rPr>
          <w:rFonts w:ascii="Times New Roman" w:eastAsia="Times New Roman" w:hAnsi="Times New Roman" w:cs="Times New Roman"/>
          <w:kern w:val="0"/>
          <w14:ligatures w14:val="none"/>
        </w:rPr>
        <w:t xml:space="preserve">, AUC mean differences were -5.24 and -5.46 (paired t-test: t = 0.965, p = 0.334, Bonferroni corrected p = 1.000), with RMSE of 55.67 and 41.06, 95% CI of (-113.86, 103.38) and (-85.23, 74.30), and r values of 0.961 and 0.979. Cl mean differences were -0.01 and -0.02 (paired t-test: t = 9.753, p &lt; 0.001, Bonferroni corrected p &lt; 0.001), with RMSE of 0.44 and 0.32, and 95% CI of (-0.87, 0.86) and (-0.66, 0.61). The CDA was 83.6% for 2 compartment Bayesian trough method and 88.3% for the 2 compartment Bayesian peak trough method. CDA classifications were 25,099 and 26,508 (McNemar's test: statistic = 543.886, p &lt; 0.001, Bonferroni corrected p &lt; 0.001). The two compartment Bayesian peak-trough </w:t>
      </w:r>
      <w:r w:rsidR="00CE1C28">
        <w:rPr>
          <w:rFonts w:ascii="Times New Roman" w:eastAsia="Times New Roman" w:hAnsi="Times New Roman" w:cs="Times New Roman"/>
          <w:kern w:val="0"/>
          <w14:ligatures w14:val="none"/>
        </w:rPr>
        <w:t xml:space="preserve">method </w:t>
      </w:r>
      <w:r w:rsidRPr="00836144">
        <w:rPr>
          <w:rFonts w:ascii="Times New Roman" w:eastAsia="Times New Roman" w:hAnsi="Times New Roman" w:cs="Times New Roman"/>
          <w:kern w:val="0"/>
          <w14:ligatures w14:val="none"/>
        </w:rPr>
        <w:t>was superior.</w:t>
      </w:r>
    </w:p>
    <w:p w14:paraId="5F9AECBA" w14:textId="3EEFE8B8" w:rsidR="002525FC" w:rsidRPr="002525FC" w:rsidRDefault="002525FC" w:rsidP="002525FC">
      <w:pPr>
        <w:spacing w:before="100" w:beforeAutospacing="1" w:after="100" w:afterAutospacing="1" w:line="240" w:lineRule="auto"/>
        <w:rPr>
          <w:rFonts w:ascii="Times New Roman" w:eastAsia="Times New Roman" w:hAnsi="Times New Roman" w:cs="Times New Roman"/>
          <w:kern w:val="0"/>
          <w14:ligatures w14:val="none"/>
        </w:rPr>
      </w:pPr>
      <w:r w:rsidRPr="002525FC">
        <w:rPr>
          <w:rFonts w:ascii="Times New Roman" w:eastAsia="Times New Roman" w:hAnsi="Times New Roman" w:cs="Times New Roman"/>
          <w:kern w:val="0"/>
          <w14:ligatures w14:val="none"/>
        </w:rPr>
        <w:t>Peak-trough methods</w:t>
      </w:r>
      <w:r>
        <w:rPr>
          <w:rFonts w:ascii="Times New Roman" w:eastAsia="Times New Roman" w:hAnsi="Times New Roman" w:cs="Times New Roman"/>
          <w:kern w:val="0"/>
          <w14:ligatures w14:val="none"/>
        </w:rPr>
        <w:t xml:space="preserve">, </w:t>
      </w:r>
      <w:r w:rsidRPr="002525FC">
        <w:rPr>
          <w:rFonts w:ascii="Times New Roman" w:eastAsia="Times New Roman" w:hAnsi="Times New Roman" w:cs="Times New Roman"/>
          <w:kern w:val="0"/>
          <w14:ligatures w14:val="none"/>
        </w:rPr>
        <w:t>including the one-compartment analytic peak-trough, one-compartment Bayesian peak-trough, and two-compartment Bayesian peak-trough approaches</w:t>
      </w:r>
      <w:r>
        <w:rPr>
          <w:rFonts w:ascii="Times New Roman" w:eastAsia="Times New Roman" w:hAnsi="Times New Roman" w:cs="Times New Roman"/>
          <w:kern w:val="0"/>
          <w14:ligatures w14:val="none"/>
        </w:rPr>
        <w:t xml:space="preserve">, </w:t>
      </w:r>
      <w:r w:rsidRPr="002525FC">
        <w:rPr>
          <w:rFonts w:ascii="Times New Roman" w:eastAsia="Times New Roman" w:hAnsi="Times New Roman" w:cs="Times New Roman"/>
          <w:kern w:val="0"/>
          <w14:ligatures w14:val="none"/>
        </w:rPr>
        <w:t xml:space="preserve">consistently outperformed both Bayesian one-compartment and two-compartment trough methods. This superiority was demonstrated by lower root mean </w:t>
      </w:r>
      <w:r w:rsidRPr="002525FC">
        <w:rPr>
          <w:rFonts w:ascii="Times New Roman" w:eastAsia="Times New Roman" w:hAnsi="Times New Roman" w:cs="Times New Roman"/>
          <w:kern w:val="0"/>
          <w14:ligatures w14:val="none"/>
        </w:rPr>
        <w:lastRenderedPageBreak/>
        <w:t>squared error (RMSE), narrower confidence intervals, and higher clinical decision agreement (CDA) observed in the peak-trough models.</w:t>
      </w:r>
    </w:p>
    <w:p w14:paraId="4F927DDA" w14:textId="16BFF7E9" w:rsidR="002525FC" w:rsidRPr="002525FC" w:rsidRDefault="00836144" w:rsidP="002525FC">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r w:rsidR="002525FC" w:rsidRPr="002525FC">
        <w:rPr>
          <w:rFonts w:ascii="Times New Roman" w:eastAsia="Times New Roman" w:hAnsi="Times New Roman" w:cs="Times New Roman"/>
          <w:kern w:val="0"/>
          <w14:ligatures w14:val="none"/>
        </w:rPr>
        <w:t xml:space="preserve">In summary, Bayesian one-compartment and two-compartment models exhibited similar performance when compared using the same number of concentration levels, whether </w:t>
      </w:r>
      <w:proofErr w:type="spellStart"/>
      <w:r w:rsidR="002525FC" w:rsidRPr="002525FC">
        <w:rPr>
          <w:rFonts w:ascii="Times New Roman" w:eastAsia="Times New Roman" w:hAnsi="Times New Roman" w:cs="Times New Roman"/>
          <w:kern w:val="0"/>
          <w14:ligatures w14:val="none"/>
        </w:rPr>
        <w:t>trough</w:t>
      </w:r>
      <w:proofErr w:type="spellEnd"/>
      <w:r w:rsidR="002525FC" w:rsidRPr="002525FC">
        <w:rPr>
          <w:rFonts w:ascii="Times New Roman" w:eastAsia="Times New Roman" w:hAnsi="Times New Roman" w:cs="Times New Roman"/>
          <w:kern w:val="0"/>
          <w14:ligatures w14:val="none"/>
        </w:rPr>
        <w:t xml:space="preserve"> or peak-trough sampling was employed. Across all approaches, peak-trough methods</w:t>
      </w:r>
      <w:r w:rsidR="002525FC">
        <w:rPr>
          <w:rFonts w:ascii="Times New Roman" w:eastAsia="Times New Roman" w:hAnsi="Times New Roman" w:cs="Times New Roman"/>
          <w:kern w:val="0"/>
          <w14:ligatures w14:val="none"/>
        </w:rPr>
        <w:t xml:space="preserve">, </w:t>
      </w:r>
      <w:r w:rsidR="002525FC" w:rsidRPr="002525FC">
        <w:rPr>
          <w:rFonts w:ascii="Times New Roman" w:eastAsia="Times New Roman" w:hAnsi="Times New Roman" w:cs="Times New Roman"/>
          <w:kern w:val="0"/>
          <w14:ligatures w14:val="none"/>
        </w:rPr>
        <w:t>including the one-compartment analytic peak-trough, one-compartment Bayesian peak-trough, and two-compartment Bayesian peak-trough</w:t>
      </w:r>
      <w:r w:rsidR="002525FC">
        <w:rPr>
          <w:rFonts w:ascii="Times New Roman" w:eastAsia="Times New Roman" w:hAnsi="Times New Roman" w:cs="Times New Roman"/>
          <w:kern w:val="0"/>
          <w14:ligatures w14:val="none"/>
        </w:rPr>
        <w:t xml:space="preserve">, </w:t>
      </w:r>
      <w:r w:rsidR="002525FC" w:rsidRPr="002525FC">
        <w:rPr>
          <w:rFonts w:ascii="Times New Roman" w:eastAsia="Times New Roman" w:hAnsi="Times New Roman" w:cs="Times New Roman"/>
          <w:kern w:val="0"/>
          <w14:ligatures w14:val="none"/>
        </w:rPr>
        <w:t>consistently outperformed both Bayesian one-compartment and two-compartment trough methods. Notably, the Bayesian one-compartment peak-trough method demonstrated superior accuracy and clinical decision agreement compared to the analytic peak-trough method, while the Bayesian two-compartment trough method surpassed the one-compartment fixed volume of distribution (</w:t>
      </w:r>
      <w:proofErr w:type="spellStart"/>
      <w:r w:rsidR="002525FC" w:rsidRPr="002525FC">
        <w:rPr>
          <w:rFonts w:ascii="Times New Roman" w:eastAsia="Times New Roman" w:hAnsi="Times New Roman" w:cs="Times New Roman"/>
          <w:kern w:val="0"/>
          <w14:ligatures w14:val="none"/>
        </w:rPr>
        <w:t>Vd</w:t>
      </w:r>
      <w:proofErr w:type="spellEnd"/>
      <w:r w:rsidR="002525FC" w:rsidRPr="002525FC">
        <w:rPr>
          <w:rFonts w:ascii="Times New Roman" w:eastAsia="Times New Roman" w:hAnsi="Times New Roman" w:cs="Times New Roman"/>
          <w:kern w:val="0"/>
          <w14:ligatures w14:val="none"/>
        </w:rPr>
        <w:t xml:space="preserve">) method. Overall, Bayesian peak-trough models achieved the lowest area under the curve (AUC) root mean squared error (RMSE), the narrowest 95% AUC confidence intervals, and the highest clinical decision agreement (CDA). In contrast, the one-compartment fixed </w:t>
      </w:r>
      <w:proofErr w:type="spellStart"/>
      <w:r w:rsidR="002525FC" w:rsidRPr="002525FC">
        <w:rPr>
          <w:rFonts w:ascii="Times New Roman" w:eastAsia="Times New Roman" w:hAnsi="Times New Roman" w:cs="Times New Roman"/>
          <w:kern w:val="0"/>
          <w14:ligatures w14:val="none"/>
        </w:rPr>
        <w:t>Vd</w:t>
      </w:r>
      <w:proofErr w:type="spellEnd"/>
      <w:r w:rsidR="002525FC" w:rsidRPr="002525FC">
        <w:rPr>
          <w:rFonts w:ascii="Times New Roman" w:eastAsia="Times New Roman" w:hAnsi="Times New Roman" w:cs="Times New Roman"/>
          <w:kern w:val="0"/>
          <w14:ligatures w14:val="none"/>
        </w:rPr>
        <w:t xml:space="preserve"> trough method performed the worst, with the highest AUC RMSE, widest confidence intervals, and lowest CDA. These findings underscore the superior performance of Bayesian one-compartment and two-compartment approaches when peak-trough methods are utilized for pharmacokinetic AUC estimation.</w:t>
      </w:r>
    </w:p>
    <w:p w14:paraId="5631B75D" w14:textId="41F2EC03" w:rsidR="0034585E" w:rsidRDefault="0034585E" w:rsidP="005F2F24">
      <w:pPr>
        <w:spacing w:before="100" w:beforeAutospacing="1" w:after="100" w:afterAutospacing="1" w:line="240" w:lineRule="auto"/>
        <w:rPr>
          <w:rFonts w:ascii="Times New Roman" w:eastAsia="Times New Roman" w:hAnsi="Times New Roman" w:cs="Times New Roman"/>
          <w:kern w:val="0"/>
          <w14:ligatures w14:val="none"/>
        </w:rPr>
      </w:pPr>
    </w:p>
    <w:p w14:paraId="6CE0A956" w14:textId="77777777" w:rsidR="005F2F24" w:rsidRDefault="005F2F24" w:rsidP="005F2F24">
      <w:pPr>
        <w:spacing w:before="100" w:beforeAutospacing="1" w:after="100" w:afterAutospacing="1" w:line="240" w:lineRule="auto"/>
        <w:rPr>
          <w:rFonts w:ascii="Times New Roman" w:eastAsia="Times New Roman" w:hAnsi="Times New Roman" w:cs="Times New Roman"/>
          <w:b/>
          <w:bCs/>
          <w:kern w:val="36"/>
          <w:sz w:val="48"/>
          <w:szCs w:val="48"/>
          <w14:ligatures w14:val="none"/>
        </w:rPr>
      </w:pPr>
    </w:p>
    <w:p w14:paraId="0D5D9EC1" w14:textId="77777777" w:rsidR="00F66772" w:rsidRDefault="00F66772" w:rsidP="00836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4008F2B" w14:textId="77777777" w:rsidR="00F66772" w:rsidRDefault="00F66772" w:rsidP="00836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B4C1D4D" w14:textId="77777777" w:rsidR="00F66772" w:rsidRDefault="00F66772" w:rsidP="00836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44A8037" w14:textId="77777777" w:rsidR="00F66772" w:rsidRDefault="00F66772" w:rsidP="00836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6C770B6" w14:textId="77777777" w:rsidR="00F66772" w:rsidRDefault="00F66772" w:rsidP="00836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109D49E" w14:textId="77777777" w:rsidR="00F66772" w:rsidRDefault="00F66772" w:rsidP="00836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4C550A0" w14:textId="77777777" w:rsidR="00F66772" w:rsidRDefault="00F66772" w:rsidP="00836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39C5492" w14:textId="77777777" w:rsidR="00F66772" w:rsidRDefault="00F66772" w:rsidP="00836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402D649" w14:textId="77777777" w:rsidR="00F66772" w:rsidRDefault="00F66772" w:rsidP="00836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B9C5CC1" w14:textId="77777777" w:rsidR="003B2CDF" w:rsidRDefault="003B2CDF" w:rsidP="00836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BD220AE" w14:textId="1A8A00A1" w:rsidR="00836144" w:rsidRPr="00836144" w:rsidRDefault="00836144" w:rsidP="008361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36144">
        <w:rPr>
          <w:rFonts w:ascii="Times New Roman" w:eastAsia="Times New Roman" w:hAnsi="Times New Roman" w:cs="Times New Roman"/>
          <w:b/>
          <w:bCs/>
          <w:kern w:val="36"/>
          <w:sz w:val="48"/>
          <w:szCs w:val="48"/>
          <w14:ligatures w14:val="none"/>
        </w:rPr>
        <w:lastRenderedPageBreak/>
        <w:t>Comparison of Pharmacokinetic Models</w:t>
      </w:r>
    </w:p>
    <w:p w14:paraId="473CB476" w14:textId="77777777" w:rsidR="00836144" w:rsidRPr="00836144" w:rsidRDefault="00836144" w:rsidP="008361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6144">
        <w:rPr>
          <w:rFonts w:ascii="Times New Roman" w:eastAsia="Times New Roman" w:hAnsi="Times New Roman" w:cs="Times New Roman"/>
          <w:b/>
          <w:bCs/>
          <w:kern w:val="0"/>
          <w:sz w:val="36"/>
          <w:szCs w:val="36"/>
          <w14:ligatures w14:val="none"/>
        </w:rPr>
        <w:t>Table: Summary of Model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1715"/>
        <w:gridCol w:w="998"/>
        <w:gridCol w:w="962"/>
        <w:gridCol w:w="4444"/>
      </w:tblGrid>
      <w:tr w:rsidR="00836144" w:rsidRPr="00F66772" w14:paraId="242172AB" w14:textId="77777777">
        <w:trPr>
          <w:tblHeader/>
          <w:tblCellSpacing w:w="15" w:type="dxa"/>
        </w:trPr>
        <w:tc>
          <w:tcPr>
            <w:tcW w:w="0" w:type="auto"/>
            <w:vAlign w:val="center"/>
            <w:hideMark/>
          </w:tcPr>
          <w:p w14:paraId="7EE3F971" w14:textId="77777777" w:rsidR="00836144" w:rsidRPr="00F66772" w:rsidRDefault="00836144" w:rsidP="00836144">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Models Compared</w:t>
            </w:r>
          </w:p>
        </w:tc>
        <w:tc>
          <w:tcPr>
            <w:tcW w:w="0" w:type="auto"/>
            <w:vAlign w:val="center"/>
            <w:hideMark/>
          </w:tcPr>
          <w:p w14:paraId="0AE55772" w14:textId="77777777" w:rsidR="00836144" w:rsidRPr="00F66772" w:rsidRDefault="00836144" w:rsidP="00836144">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Metric</w:t>
            </w:r>
          </w:p>
        </w:tc>
        <w:tc>
          <w:tcPr>
            <w:tcW w:w="0" w:type="auto"/>
            <w:vAlign w:val="center"/>
            <w:hideMark/>
          </w:tcPr>
          <w:p w14:paraId="1B585967" w14:textId="77777777" w:rsidR="00836144" w:rsidRPr="00F66772" w:rsidRDefault="00836144" w:rsidP="00836144">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Method 1</w:t>
            </w:r>
          </w:p>
        </w:tc>
        <w:tc>
          <w:tcPr>
            <w:tcW w:w="0" w:type="auto"/>
            <w:vAlign w:val="center"/>
            <w:hideMark/>
          </w:tcPr>
          <w:p w14:paraId="276A859B" w14:textId="77777777" w:rsidR="00836144" w:rsidRPr="00F66772" w:rsidRDefault="00836144" w:rsidP="00836144">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Method 2</w:t>
            </w:r>
          </w:p>
        </w:tc>
        <w:tc>
          <w:tcPr>
            <w:tcW w:w="0" w:type="auto"/>
            <w:vAlign w:val="center"/>
            <w:hideMark/>
          </w:tcPr>
          <w:p w14:paraId="3C946632" w14:textId="77777777" w:rsidR="00836144" w:rsidRPr="00F66772" w:rsidRDefault="00836144" w:rsidP="00836144">
            <w:pPr>
              <w:spacing w:after="0" w:line="240" w:lineRule="auto"/>
              <w:jc w:val="center"/>
              <w:rPr>
                <w:rFonts w:ascii="Times New Roman" w:eastAsia="Times New Roman" w:hAnsi="Times New Roman" w:cs="Times New Roman"/>
                <w:kern w:val="0"/>
                <w:sz w:val="20"/>
                <w:szCs w:val="20"/>
                <w14:ligatures w14:val="none"/>
              </w:rPr>
            </w:pPr>
            <w:r w:rsidRPr="00F66772">
              <w:rPr>
                <w:rFonts w:ascii="Times New Roman" w:eastAsia="Times New Roman" w:hAnsi="Times New Roman" w:cs="Times New Roman"/>
                <w:kern w:val="0"/>
                <w:sz w:val="20"/>
                <w:szCs w:val="20"/>
                <w14:ligatures w14:val="none"/>
              </w:rPr>
              <w:t>Statistical Test</w:t>
            </w:r>
          </w:p>
        </w:tc>
      </w:tr>
      <w:tr w:rsidR="00836144" w:rsidRPr="00F66772" w14:paraId="612EA872" w14:textId="77777777">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3238D02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Analytic Peak-Trough vs </w:t>
            </w:r>
            <w:r w:rsidRPr="00F66772">
              <w:rPr>
                <w:rFonts w:ascii="Times New Roman" w:eastAsia="Times New Roman" w:hAnsi="Times New Roman" w:cs="Times New Roman"/>
                <w:color w:val="000000"/>
                <w:kern w:val="0"/>
                <w:sz w:val="20"/>
                <w:szCs w:val="20"/>
                <w14:ligatures w14:val="none"/>
              </w:rPr>
              <w:br/>
              <w:t>Bayesian One-Compartment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4897482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6EB8F3E2"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-3.46</w:t>
            </w:r>
          </w:p>
        </w:tc>
        <w:tc>
          <w:tcPr>
            <w:tcW w:w="0" w:type="auto"/>
            <w:tcBorders>
              <w:top w:val="nil"/>
              <w:left w:val="nil"/>
              <w:bottom w:val="nil"/>
              <w:right w:val="nil"/>
            </w:tcBorders>
            <w:noWrap/>
            <w:tcMar>
              <w:top w:w="0" w:type="dxa"/>
              <w:left w:w="0" w:type="dxa"/>
              <w:bottom w:w="0" w:type="dxa"/>
              <w:right w:w="0" w:type="dxa"/>
            </w:tcMar>
            <w:vAlign w:val="bottom"/>
            <w:hideMark/>
          </w:tcPr>
          <w:p w14:paraId="487129E0"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-6.86</w:t>
            </w:r>
          </w:p>
        </w:tc>
        <w:tc>
          <w:tcPr>
            <w:tcW w:w="0" w:type="auto"/>
            <w:tcBorders>
              <w:top w:val="nil"/>
              <w:left w:val="nil"/>
              <w:bottom w:val="nil"/>
              <w:right w:val="nil"/>
            </w:tcBorders>
            <w:noWrap/>
            <w:tcMar>
              <w:top w:w="0" w:type="dxa"/>
              <w:left w:w="0" w:type="dxa"/>
              <w:bottom w:w="0" w:type="dxa"/>
              <w:right w:w="0" w:type="dxa"/>
            </w:tcMar>
            <w:vAlign w:val="bottom"/>
            <w:hideMark/>
          </w:tcPr>
          <w:p w14:paraId="38604B1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32.902, p &lt; 0.001 (Bonferroni corrected: p &lt; 0.001)</w:t>
            </w:r>
          </w:p>
        </w:tc>
      </w:tr>
      <w:tr w:rsidR="00836144" w:rsidRPr="00F66772" w14:paraId="1B3715E9" w14:textId="77777777">
        <w:trPr>
          <w:tblCellSpacing w:w="15" w:type="dxa"/>
        </w:trPr>
        <w:tc>
          <w:tcPr>
            <w:tcW w:w="0" w:type="auto"/>
            <w:vMerge/>
            <w:tcBorders>
              <w:top w:val="nil"/>
              <w:left w:val="nil"/>
              <w:bottom w:val="nil"/>
              <w:right w:val="nil"/>
            </w:tcBorders>
            <w:vAlign w:val="center"/>
            <w:hideMark/>
          </w:tcPr>
          <w:p w14:paraId="5601027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FC976E2"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6EE2B782"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44.72</w:t>
            </w:r>
          </w:p>
        </w:tc>
        <w:tc>
          <w:tcPr>
            <w:tcW w:w="0" w:type="auto"/>
            <w:tcBorders>
              <w:top w:val="nil"/>
              <w:left w:val="nil"/>
              <w:bottom w:val="nil"/>
              <w:right w:val="nil"/>
            </w:tcBorders>
            <w:noWrap/>
            <w:tcMar>
              <w:top w:w="0" w:type="dxa"/>
              <w:left w:w="0" w:type="dxa"/>
              <w:bottom w:w="0" w:type="dxa"/>
              <w:right w:w="0" w:type="dxa"/>
            </w:tcMar>
            <w:vAlign w:val="bottom"/>
            <w:hideMark/>
          </w:tcPr>
          <w:p w14:paraId="0AA6D65D"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40.78</w:t>
            </w:r>
          </w:p>
        </w:tc>
        <w:tc>
          <w:tcPr>
            <w:tcW w:w="0" w:type="auto"/>
            <w:tcBorders>
              <w:top w:val="nil"/>
              <w:left w:val="nil"/>
              <w:bottom w:val="nil"/>
              <w:right w:val="nil"/>
            </w:tcBorders>
            <w:noWrap/>
            <w:tcMar>
              <w:top w:w="0" w:type="dxa"/>
              <w:left w:w="0" w:type="dxa"/>
              <w:bottom w:w="0" w:type="dxa"/>
              <w:right w:w="0" w:type="dxa"/>
            </w:tcMar>
            <w:vAlign w:val="bottom"/>
            <w:hideMark/>
          </w:tcPr>
          <w:p w14:paraId="3D7A630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0EF60B0F" w14:textId="77777777">
        <w:trPr>
          <w:tblCellSpacing w:w="15" w:type="dxa"/>
        </w:trPr>
        <w:tc>
          <w:tcPr>
            <w:tcW w:w="0" w:type="auto"/>
            <w:vMerge/>
            <w:tcBorders>
              <w:top w:val="nil"/>
              <w:left w:val="nil"/>
              <w:bottom w:val="nil"/>
              <w:right w:val="nil"/>
            </w:tcBorders>
            <w:vAlign w:val="center"/>
            <w:hideMark/>
          </w:tcPr>
          <w:p w14:paraId="2B504EDB"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2EDFEC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3F53DC4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-90.86, 83.93</w:t>
            </w:r>
          </w:p>
        </w:tc>
        <w:tc>
          <w:tcPr>
            <w:tcW w:w="0" w:type="auto"/>
            <w:tcBorders>
              <w:top w:val="nil"/>
              <w:left w:val="nil"/>
              <w:bottom w:val="nil"/>
              <w:right w:val="nil"/>
            </w:tcBorders>
            <w:noWrap/>
            <w:tcMar>
              <w:top w:w="0" w:type="dxa"/>
              <w:left w:w="0" w:type="dxa"/>
              <w:bottom w:w="0" w:type="dxa"/>
              <w:right w:w="0" w:type="dxa"/>
            </w:tcMar>
            <w:vAlign w:val="bottom"/>
            <w:hideMark/>
          </w:tcPr>
          <w:p w14:paraId="0F3579CA"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-85.65, 71.94</w:t>
            </w:r>
          </w:p>
        </w:tc>
        <w:tc>
          <w:tcPr>
            <w:tcW w:w="0" w:type="auto"/>
            <w:tcBorders>
              <w:top w:val="nil"/>
              <w:left w:val="nil"/>
              <w:bottom w:val="nil"/>
              <w:right w:val="nil"/>
            </w:tcBorders>
            <w:noWrap/>
            <w:tcMar>
              <w:top w:w="0" w:type="dxa"/>
              <w:left w:w="0" w:type="dxa"/>
              <w:bottom w:w="0" w:type="dxa"/>
              <w:right w:w="0" w:type="dxa"/>
            </w:tcMar>
            <w:vAlign w:val="bottom"/>
            <w:hideMark/>
          </w:tcPr>
          <w:p w14:paraId="118DFB8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1E208476" w14:textId="77777777">
        <w:trPr>
          <w:tblCellSpacing w:w="15" w:type="dxa"/>
        </w:trPr>
        <w:tc>
          <w:tcPr>
            <w:tcW w:w="0" w:type="auto"/>
            <w:vMerge/>
            <w:tcBorders>
              <w:top w:val="nil"/>
              <w:left w:val="nil"/>
              <w:bottom w:val="nil"/>
              <w:right w:val="nil"/>
            </w:tcBorders>
            <w:vAlign w:val="center"/>
            <w:hideMark/>
          </w:tcPr>
          <w:p w14:paraId="101302B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45BC5C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0FC0207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0.976</w:t>
            </w:r>
          </w:p>
        </w:tc>
        <w:tc>
          <w:tcPr>
            <w:tcW w:w="0" w:type="auto"/>
            <w:tcBorders>
              <w:top w:val="nil"/>
              <w:left w:val="nil"/>
              <w:bottom w:val="nil"/>
              <w:right w:val="nil"/>
            </w:tcBorders>
            <w:noWrap/>
            <w:tcMar>
              <w:top w:w="0" w:type="dxa"/>
              <w:left w:w="0" w:type="dxa"/>
              <w:bottom w:w="0" w:type="dxa"/>
              <w:right w:w="0" w:type="dxa"/>
            </w:tcMar>
            <w:vAlign w:val="bottom"/>
            <w:hideMark/>
          </w:tcPr>
          <w:p w14:paraId="58AA4AA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tcBorders>
              <w:top w:val="nil"/>
              <w:left w:val="nil"/>
              <w:bottom w:val="nil"/>
              <w:right w:val="nil"/>
            </w:tcBorders>
            <w:noWrap/>
            <w:tcMar>
              <w:top w:w="0" w:type="dxa"/>
              <w:left w:w="0" w:type="dxa"/>
              <w:bottom w:w="0" w:type="dxa"/>
              <w:right w:w="0" w:type="dxa"/>
            </w:tcMar>
            <w:vAlign w:val="bottom"/>
            <w:hideMark/>
          </w:tcPr>
          <w:p w14:paraId="17FE9ED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71B6B8AC" w14:textId="77777777">
        <w:trPr>
          <w:tblCellSpacing w:w="15" w:type="dxa"/>
        </w:trPr>
        <w:tc>
          <w:tcPr>
            <w:tcW w:w="0" w:type="auto"/>
            <w:vMerge/>
            <w:tcBorders>
              <w:top w:val="nil"/>
              <w:left w:val="nil"/>
              <w:bottom w:val="nil"/>
              <w:right w:val="nil"/>
            </w:tcBorders>
            <w:vAlign w:val="center"/>
            <w:hideMark/>
          </w:tcPr>
          <w:p w14:paraId="60865AF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D5D77A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25C2F53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-0.78%</w:t>
            </w:r>
          </w:p>
        </w:tc>
        <w:tc>
          <w:tcPr>
            <w:tcW w:w="0" w:type="auto"/>
            <w:tcBorders>
              <w:top w:val="nil"/>
              <w:left w:val="nil"/>
              <w:bottom w:val="nil"/>
              <w:right w:val="nil"/>
            </w:tcBorders>
            <w:noWrap/>
            <w:tcMar>
              <w:top w:w="0" w:type="dxa"/>
              <w:left w:w="0" w:type="dxa"/>
              <w:bottom w:w="0" w:type="dxa"/>
              <w:right w:w="0" w:type="dxa"/>
            </w:tcMar>
            <w:vAlign w:val="bottom"/>
            <w:hideMark/>
          </w:tcPr>
          <w:p w14:paraId="434517E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-0.86%</w:t>
            </w:r>
          </w:p>
        </w:tc>
        <w:tc>
          <w:tcPr>
            <w:tcW w:w="0" w:type="auto"/>
            <w:tcBorders>
              <w:top w:val="nil"/>
              <w:left w:val="nil"/>
              <w:bottom w:val="nil"/>
              <w:right w:val="nil"/>
            </w:tcBorders>
            <w:noWrap/>
            <w:tcMar>
              <w:top w:w="0" w:type="dxa"/>
              <w:left w:w="0" w:type="dxa"/>
              <w:bottom w:w="0" w:type="dxa"/>
              <w:right w:w="0" w:type="dxa"/>
            </w:tcMar>
            <w:vAlign w:val="bottom"/>
            <w:hideMark/>
          </w:tcPr>
          <w:p w14:paraId="4CB25D6B"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36144" w:rsidRPr="00F66772" w14:paraId="23625F1C" w14:textId="77777777">
        <w:trPr>
          <w:tblCellSpacing w:w="15" w:type="dxa"/>
        </w:trPr>
        <w:tc>
          <w:tcPr>
            <w:tcW w:w="0" w:type="auto"/>
            <w:vMerge/>
            <w:tcBorders>
              <w:top w:val="nil"/>
              <w:left w:val="nil"/>
              <w:bottom w:val="nil"/>
              <w:right w:val="nil"/>
            </w:tcBorders>
            <w:vAlign w:val="center"/>
            <w:hideMark/>
          </w:tcPr>
          <w:p w14:paraId="09D7806B"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B664BE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0E7BD91C"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-0.07</w:t>
            </w:r>
          </w:p>
        </w:tc>
        <w:tc>
          <w:tcPr>
            <w:tcW w:w="0" w:type="auto"/>
            <w:tcBorders>
              <w:top w:val="nil"/>
              <w:left w:val="nil"/>
              <w:bottom w:val="nil"/>
              <w:right w:val="nil"/>
            </w:tcBorders>
            <w:noWrap/>
            <w:tcMar>
              <w:top w:w="0" w:type="dxa"/>
              <w:left w:w="0" w:type="dxa"/>
              <w:bottom w:w="0" w:type="dxa"/>
              <w:right w:w="0" w:type="dxa"/>
            </w:tcMar>
            <w:vAlign w:val="bottom"/>
            <w:hideMark/>
          </w:tcPr>
          <w:p w14:paraId="4044AD03"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-0.04</w:t>
            </w:r>
          </w:p>
        </w:tc>
        <w:tc>
          <w:tcPr>
            <w:tcW w:w="0" w:type="auto"/>
            <w:tcBorders>
              <w:top w:val="nil"/>
              <w:left w:val="nil"/>
              <w:bottom w:val="nil"/>
              <w:right w:val="nil"/>
            </w:tcBorders>
            <w:noWrap/>
            <w:tcMar>
              <w:top w:w="0" w:type="dxa"/>
              <w:left w:w="0" w:type="dxa"/>
              <w:bottom w:w="0" w:type="dxa"/>
              <w:right w:w="0" w:type="dxa"/>
            </w:tcMar>
            <w:vAlign w:val="bottom"/>
            <w:hideMark/>
          </w:tcPr>
          <w:p w14:paraId="25AE1B8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-29.266, p &lt; 0.001 (Bonferroni corrected: p &lt; 0.001)</w:t>
            </w:r>
          </w:p>
        </w:tc>
      </w:tr>
      <w:tr w:rsidR="00836144" w:rsidRPr="00F66772" w14:paraId="026AD79F" w14:textId="77777777">
        <w:trPr>
          <w:tblCellSpacing w:w="15" w:type="dxa"/>
        </w:trPr>
        <w:tc>
          <w:tcPr>
            <w:tcW w:w="0" w:type="auto"/>
            <w:vMerge/>
            <w:tcBorders>
              <w:top w:val="nil"/>
              <w:left w:val="nil"/>
              <w:bottom w:val="nil"/>
              <w:right w:val="nil"/>
            </w:tcBorders>
            <w:vAlign w:val="center"/>
            <w:hideMark/>
          </w:tcPr>
          <w:p w14:paraId="0FE78BF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0F05D1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602F17B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-0.83, 0.69)</w:t>
            </w:r>
          </w:p>
        </w:tc>
        <w:tc>
          <w:tcPr>
            <w:tcW w:w="0" w:type="auto"/>
            <w:tcBorders>
              <w:top w:val="nil"/>
              <w:left w:val="nil"/>
              <w:bottom w:val="nil"/>
              <w:right w:val="nil"/>
            </w:tcBorders>
            <w:noWrap/>
            <w:tcMar>
              <w:top w:w="0" w:type="dxa"/>
              <w:left w:w="0" w:type="dxa"/>
              <w:bottom w:w="0" w:type="dxa"/>
              <w:right w:w="0" w:type="dxa"/>
            </w:tcMar>
            <w:vAlign w:val="bottom"/>
            <w:hideMark/>
          </w:tcPr>
          <w:p w14:paraId="09AD865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-0.68, 0.60</w:t>
            </w:r>
          </w:p>
        </w:tc>
        <w:tc>
          <w:tcPr>
            <w:tcW w:w="0" w:type="auto"/>
            <w:tcBorders>
              <w:top w:val="nil"/>
              <w:left w:val="nil"/>
              <w:bottom w:val="nil"/>
              <w:right w:val="nil"/>
            </w:tcBorders>
            <w:noWrap/>
            <w:tcMar>
              <w:top w:w="0" w:type="dxa"/>
              <w:left w:w="0" w:type="dxa"/>
              <w:bottom w:w="0" w:type="dxa"/>
              <w:right w:w="0" w:type="dxa"/>
            </w:tcMar>
            <w:vAlign w:val="bottom"/>
            <w:hideMark/>
          </w:tcPr>
          <w:p w14:paraId="6107C70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39BD7007" w14:textId="77777777">
        <w:trPr>
          <w:tblCellSpacing w:w="15" w:type="dxa"/>
        </w:trPr>
        <w:tc>
          <w:tcPr>
            <w:tcW w:w="0" w:type="auto"/>
            <w:vMerge/>
            <w:tcBorders>
              <w:top w:val="nil"/>
              <w:left w:val="nil"/>
              <w:bottom w:val="nil"/>
              <w:right w:val="nil"/>
            </w:tcBorders>
            <w:vAlign w:val="center"/>
            <w:hideMark/>
          </w:tcPr>
          <w:p w14:paraId="57DEA93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40E23C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7D80869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0.40</w:t>
            </w:r>
          </w:p>
        </w:tc>
        <w:tc>
          <w:tcPr>
            <w:tcW w:w="0" w:type="auto"/>
            <w:tcBorders>
              <w:top w:val="nil"/>
              <w:left w:val="nil"/>
              <w:bottom w:val="nil"/>
              <w:right w:val="nil"/>
            </w:tcBorders>
            <w:noWrap/>
            <w:tcMar>
              <w:top w:w="0" w:type="dxa"/>
              <w:left w:w="0" w:type="dxa"/>
              <w:bottom w:w="0" w:type="dxa"/>
              <w:right w:w="0" w:type="dxa"/>
            </w:tcMar>
            <w:vAlign w:val="bottom"/>
            <w:hideMark/>
          </w:tcPr>
          <w:p w14:paraId="46B8A9F2"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0.33</w:t>
            </w:r>
          </w:p>
        </w:tc>
        <w:tc>
          <w:tcPr>
            <w:tcW w:w="0" w:type="auto"/>
            <w:tcBorders>
              <w:top w:val="nil"/>
              <w:left w:val="nil"/>
              <w:bottom w:val="nil"/>
              <w:right w:val="nil"/>
            </w:tcBorders>
            <w:noWrap/>
            <w:tcMar>
              <w:top w:w="0" w:type="dxa"/>
              <w:left w:w="0" w:type="dxa"/>
              <w:bottom w:w="0" w:type="dxa"/>
              <w:right w:w="0" w:type="dxa"/>
            </w:tcMar>
            <w:vAlign w:val="bottom"/>
            <w:hideMark/>
          </w:tcPr>
          <w:p w14:paraId="355C874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280CFDA0" w14:textId="77777777">
        <w:trPr>
          <w:tblCellSpacing w:w="15" w:type="dxa"/>
        </w:trPr>
        <w:tc>
          <w:tcPr>
            <w:tcW w:w="0" w:type="auto"/>
            <w:vMerge/>
            <w:tcBorders>
              <w:top w:val="nil"/>
              <w:left w:val="nil"/>
              <w:bottom w:val="nil"/>
              <w:right w:val="nil"/>
            </w:tcBorders>
            <w:vAlign w:val="center"/>
            <w:hideMark/>
          </w:tcPr>
          <w:p w14:paraId="337F84D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E185D8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47C92F6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w:t>
            </w:r>
          </w:p>
        </w:tc>
        <w:tc>
          <w:tcPr>
            <w:tcW w:w="0" w:type="auto"/>
            <w:tcBorders>
              <w:top w:val="nil"/>
              <w:left w:val="nil"/>
              <w:bottom w:val="nil"/>
              <w:right w:val="nil"/>
            </w:tcBorders>
            <w:noWrap/>
            <w:tcMar>
              <w:top w:w="0" w:type="dxa"/>
              <w:left w:w="0" w:type="dxa"/>
              <w:bottom w:w="0" w:type="dxa"/>
              <w:right w:w="0" w:type="dxa"/>
            </w:tcMar>
            <w:vAlign w:val="bottom"/>
            <w:hideMark/>
          </w:tcPr>
          <w:p w14:paraId="0C2C6C12"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tcBorders>
              <w:top w:val="nil"/>
              <w:left w:val="nil"/>
              <w:bottom w:val="nil"/>
              <w:right w:val="nil"/>
            </w:tcBorders>
            <w:noWrap/>
            <w:tcMar>
              <w:top w:w="0" w:type="dxa"/>
              <w:left w:w="0" w:type="dxa"/>
              <w:bottom w:w="0" w:type="dxa"/>
              <w:right w:w="0" w:type="dxa"/>
            </w:tcMar>
            <w:vAlign w:val="bottom"/>
            <w:hideMark/>
          </w:tcPr>
          <w:p w14:paraId="1F3AA65D"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p>
        </w:tc>
      </w:tr>
      <w:tr w:rsidR="00836144" w:rsidRPr="00F66772" w14:paraId="294BE147" w14:textId="77777777">
        <w:trPr>
          <w:tblCellSpacing w:w="15" w:type="dxa"/>
        </w:trPr>
        <w:tc>
          <w:tcPr>
            <w:tcW w:w="0" w:type="auto"/>
            <w:vMerge/>
            <w:tcBorders>
              <w:top w:val="nil"/>
              <w:left w:val="nil"/>
              <w:bottom w:val="nil"/>
              <w:right w:val="nil"/>
            </w:tcBorders>
            <w:vAlign w:val="center"/>
            <w:hideMark/>
          </w:tcPr>
          <w:p w14:paraId="156AB3A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97BB17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5952FB5D"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25865</w:t>
            </w:r>
          </w:p>
        </w:tc>
        <w:tc>
          <w:tcPr>
            <w:tcW w:w="0" w:type="auto"/>
            <w:tcBorders>
              <w:top w:val="nil"/>
              <w:left w:val="nil"/>
              <w:bottom w:val="nil"/>
              <w:right w:val="nil"/>
            </w:tcBorders>
            <w:noWrap/>
            <w:tcMar>
              <w:top w:w="0" w:type="dxa"/>
              <w:left w:w="0" w:type="dxa"/>
              <w:bottom w:w="0" w:type="dxa"/>
              <w:right w:w="0" w:type="dxa"/>
            </w:tcMar>
            <w:vAlign w:val="bottom"/>
            <w:hideMark/>
          </w:tcPr>
          <w:p w14:paraId="5F820B4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26279</w:t>
            </w:r>
          </w:p>
        </w:tc>
        <w:tc>
          <w:tcPr>
            <w:tcW w:w="0" w:type="auto"/>
            <w:tcBorders>
              <w:top w:val="nil"/>
              <w:left w:val="nil"/>
              <w:bottom w:val="nil"/>
              <w:right w:val="nil"/>
            </w:tcBorders>
            <w:noWrap/>
            <w:tcMar>
              <w:top w:w="0" w:type="dxa"/>
              <w:left w:w="0" w:type="dxa"/>
              <w:bottom w:w="0" w:type="dxa"/>
              <w:right w:w="0" w:type="dxa"/>
            </w:tcMar>
            <w:vAlign w:val="bottom"/>
            <w:hideMark/>
          </w:tcPr>
          <w:p w14:paraId="1AF7A39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127.863, p &lt; 0.001 (Bonferroni corrected: p &lt; 0.001)</w:t>
            </w:r>
          </w:p>
        </w:tc>
      </w:tr>
      <w:tr w:rsidR="00836144" w:rsidRPr="00F66772" w14:paraId="2A8AA4C9" w14:textId="77777777">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5F0E193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Peak-Trough vs </w:t>
            </w:r>
            <w:r w:rsidRPr="00F66772">
              <w:rPr>
                <w:rFonts w:ascii="Times New Roman" w:eastAsia="Times New Roman" w:hAnsi="Times New Roman" w:cs="Times New Roman"/>
                <w:color w:val="000000"/>
                <w:kern w:val="0"/>
                <w:sz w:val="20"/>
                <w:szCs w:val="20"/>
                <w14:ligatures w14:val="none"/>
              </w:rPr>
              <w:br/>
              <w:t>Two-Compartment Bayesian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3AEA243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437BB4D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-6.86</w:t>
            </w:r>
          </w:p>
        </w:tc>
        <w:tc>
          <w:tcPr>
            <w:tcW w:w="0" w:type="auto"/>
            <w:tcBorders>
              <w:top w:val="nil"/>
              <w:left w:val="nil"/>
              <w:bottom w:val="nil"/>
              <w:right w:val="nil"/>
            </w:tcBorders>
            <w:noWrap/>
            <w:tcMar>
              <w:top w:w="0" w:type="dxa"/>
              <w:left w:w="0" w:type="dxa"/>
              <w:bottom w:w="0" w:type="dxa"/>
              <w:right w:w="0" w:type="dxa"/>
            </w:tcMar>
            <w:vAlign w:val="bottom"/>
            <w:hideMark/>
          </w:tcPr>
          <w:p w14:paraId="7BD5365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-5.39</w:t>
            </w:r>
          </w:p>
        </w:tc>
        <w:tc>
          <w:tcPr>
            <w:tcW w:w="0" w:type="auto"/>
            <w:tcBorders>
              <w:top w:val="nil"/>
              <w:left w:val="nil"/>
              <w:bottom w:val="nil"/>
              <w:right w:val="nil"/>
            </w:tcBorders>
            <w:noWrap/>
            <w:tcMar>
              <w:top w:w="0" w:type="dxa"/>
              <w:left w:w="0" w:type="dxa"/>
              <w:bottom w:w="0" w:type="dxa"/>
              <w:right w:w="0" w:type="dxa"/>
            </w:tcMar>
            <w:vAlign w:val="bottom"/>
            <w:hideMark/>
          </w:tcPr>
          <w:p w14:paraId="3D922462"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-4.746, p &lt; 0.001 (Bonferroni corrected: p &lt; 0.001)</w:t>
            </w:r>
          </w:p>
        </w:tc>
      </w:tr>
      <w:tr w:rsidR="00836144" w:rsidRPr="00F66772" w14:paraId="457B9B33" w14:textId="77777777">
        <w:trPr>
          <w:tblCellSpacing w:w="15" w:type="dxa"/>
        </w:trPr>
        <w:tc>
          <w:tcPr>
            <w:tcW w:w="0" w:type="auto"/>
            <w:vMerge/>
            <w:tcBorders>
              <w:top w:val="nil"/>
              <w:left w:val="nil"/>
              <w:bottom w:val="nil"/>
              <w:right w:val="nil"/>
            </w:tcBorders>
            <w:vAlign w:val="center"/>
            <w:hideMark/>
          </w:tcPr>
          <w:p w14:paraId="23E07D0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62A20E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493C4AA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40.78</w:t>
            </w:r>
          </w:p>
        </w:tc>
        <w:tc>
          <w:tcPr>
            <w:tcW w:w="0" w:type="auto"/>
            <w:tcBorders>
              <w:top w:val="nil"/>
              <w:left w:val="nil"/>
              <w:bottom w:val="nil"/>
              <w:right w:val="nil"/>
            </w:tcBorders>
            <w:noWrap/>
            <w:tcMar>
              <w:top w:w="0" w:type="dxa"/>
              <w:left w:w="0" w:type="dxa"/>
              <w:bottom w:w="0" w:type="dxa"/>
              <w:right w:w="0" w:type="dxa"/>
            </w:tcMar>
            <w:vAlign w:val="bottom"/>
            <w:hideMark/>
          </w:tcPr>
          <w:p w14:paraId="2909C14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40.75</w:t>
            </w:r>
          </w:p>
        </w:tc>
        <w:tc>
          <w:tcPr>
            <w:tcW w:w="0" w:type="auto"/>
            <w:tcBorders>
              <w:top w:val="nil"/>
              <w:left w:val="nil"/>
              <w:bottom w:val="nil"/>
              <w:right w:val="nil"/>
            </w:tcBorders>
            <w:noWrap/>
            <w:tcMar>
              <w:top w:w="0" w:type="dxa"/>
              <w:left w:w="0" w:type="dxa"/>
              <w:bottom w:w="0" w:type="dxa"/>
              <w:right w:w="0" w:type="dxa"/>
            </w:tcMar>
            <w:vAlign w:val="bottom"/>
            <w:hideMark/>
          </w:tcPr>
          <w:p w14:paraId="76480F3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46585578" w14:textId="77777777">
        <w:trPr>
          <w:tblCellSpacing w:w="15" w:type="dxa"/>
        </w:trPr>
        <w:tc>
          <w:tcPr>
            <w:tcW w:w="0" w:type="auto"/>
            <w:vMerge/>
            <w:tcBorders>
              <w:top w:val="nil"/>
              <w:left w:val="nil"/>
              <w:bottom w:val="nil"/>
              <w:right w:val="nil"/>
            </w:tcBorders>
            <w:vAlign w:val="center"/>
            <w:hideMark/>
          </w:tcPr>
          <w:p w14:paraId="31FDC99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02CA74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7C1A832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-85.65, 71.94</w:t>
            </w:r>
          </w:p>
        </w:tc>
        <w:tc>
          <w:tcPr>
            <w:tcW w:w="0" w:type="auto"/>
            <w:tcBorders>
              <w:top w:val="nil"/>
              <w:left w:val="nil"/>
              <w:bottom w:val="nil"/>
              <w:right w:val="nil"/>
            </w:tcBorders>
            <w:noWrap/>
            <w:tcMar>
              <w:top w:w="0" w:type="dxa"/>
              <w:left w:w="0" w:type="dxa"/>
              <w:bottom w:w="0" w:type="dxa"/>
              <w:right w:w="0" w:type="dxa"/>
            </w:tcMar>
            <w:vAlign w:val="bottom"/>
            <w:hideMark/>
          </w:tcPr>
          <w:p w14:paraId="20260460"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-84.57, 73.78</w:t>
            </w:r>
          </w:p>
        </w:tc>
        <w:tc>
          <w:tcPr>
            <w:tcW w:w="0" w:type="auto"/>
            <w:tcBorders>
              <w:top w:val="nil"/>
              <w:left w:val="nil"/>
              <w:bottom w:val="nil"/>
              <w:right w:val="nil"/>
            </w:tcBorders>
            <w:noWrap/>
            <w:tcMar>
              <w:top w:w="0" w:type="dxa"/>
              <w:left w:w="0" w:type="dxa"/>
              <w:bottom w:w="0" w:type="dxa"/>
              <w:right w:w="0" w:type="dxa"/>
            </w:tcMar>
            <w:vAlign w:val="bottom"/>
            <w:hideMark/>
          </w:tcPr>
          <w:p w14:paraId="6D8299E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42E0529B" w14:textId="77777777">
        <w:trPr>
          <w:tblCellSpacing w:w="15" w:type="dxa"/>
        </w:trPr>
        <w:tc>
          <w:tcPr>
            <w:tcW w:w="0" w:type="auto"/>
            <w:vMerge/>
            <w:tcBorders>
              <w:top w:val="nil"/>
              <w:left w:val="nil"/>
              <w:bottom w:val="nil"/>
              <w:right w:val="nil"/>
            </w:tcBorders>
            <w:vAlign w:val="center"/>
            <w:hideMark/>
          </w:tcPr>
          <w:p w14:paraId="45D3A8F2"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405294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350D48B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tcBorders>
              <w:top w:val="nil"/>
              <w:left w:val="nil"/>
              <w:bottom w:val="nil"/>
              <w:right w:val="nil"/>
            </w:tcBorders>
            <w:noWrap/>
            <w:tcMar>
              <w:top w:w="0" w:type="dxa"/>
              <w:left w:w="0" w:type="dxa"/>
              <w:bottom w:w="0" w:type="dxa"/>
              <w:right w:w="0" w:type="dxa"/>
            </w:tcMar>
            <w:vAlign w:val="bottom"/>
            <w:hideMark/>
          </w:tcPr>
          <w:p w14:paraId="59AB1F4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tcBorders>
              <w:top w:val="nil"/>
              <w:left w:val="nil"/>
              <w:bottom w:val="nil"/>
              <w:right w:val="nil"/>
            </w:tcBorders>
            <w:noWrap/>
            <w:tcMar>
              <w:top w:w="0" w:type="dxa"/>
              <w:left w:w="0" w:type="dxa"/>
              <w:bottom w:w="0" w:type="dxa"/>
              <w:right w:w="0" w:type="dxa"/>
            </w:tcMar>
            <w:vAlign w:val="bottom"/>
            <w:hideMark/>
          </w:tcPr>
          <w:p w14:paraId="14DB79E7"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599B5149" w14:textId="77777777">
        <w:trPr>
          <w:tblCellSpacing w:w="15" w:type="dxa"/>
        </w:trPr>
        <w:tc>
          <w:tcPr>
            <w:tcW w:w="0" w:type="auto"/>
            <w:vMerge/>
            <w:tcBorders>
              <w:top w:val="nil"/>
              <w:left w:val="nil"/>
              <w:bottom w:val="nil"/>
              <w:right w:val="nil"/>
            </w:tcBorders>
            <w:vAlign w:val="center"/>
            <w:hideMark/>
          </w:tcPr>
          <w:p w14:paraId="32CDED4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114CF5B"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366394A0"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-0.86%</w:t>
            </w:r>
          </w:p>
        </w:tc>
        <w:tc>
          <w:tcPr>
            <w:tcW w:w="0" w:type="auto"/>
            <w:tcBorders>
              <w:top w:val="nil"/>
              <w:left w:val="nil"/>
              <w:bottom w:val="nil"/>
              <w:right w:val="nil"/>
            </w:tcBorders>
            <w:noWrap/>
            <w:tcMar>
              <w:top w:w="0" w:type="dxa"/>
              <w:left w:w="0" w:type="dxa"/>
              <w:bottom w:w="0" w:type="dxa"/>
              <w:right w:w="0" w:type="dxa"/>
            </w:tcMar>
            <w:vAlign w:val="bottom"/>
            <w:hideMark/>
          </w:tcPr>
          <w:p w14:paraId="25498B4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-0.52%</w:t>
            </w:r>
          </w:p>
        </w:tc>
        <w:tc>
          <w:tcPr>
            <w:tcW w:w="0" w:type="auto"/>
            <w:tcBorders>
              <w:top w:val="nil"/>
              <w:left w:val="nil"/>
              <w:bottom w:val="nil"/>
              <w:right w:val="nil"/>
            </w:tcBorders>
            <w:noWrap/>
            <w:tcMar>
              <w:top w:w="0" w:type="dxa"/>
              <w:left w:w="0" w:type="dxa"/>
              <w:bottom w:w="0" w:type="dxa"/>
              <w:right w:w="0" w:type="dxa"/>
            </w:tcMar>
            <w:vAlign w:val="bottom"/>
            <w:hideMark/>
          </w:tcPr>
          <w:p w14:paraId="1171E64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36144" w:rsidRPr="00F66772" w14:paraId="105D74D3" w14:textId="77777777">
        <w:trPr>
          <w:tblCellSpacing w:w="15" w:type="dxa"/>
        </w:trPr>
        <w:tc>
          <w:tcPr>
            <w:tcW w:w="0" w:type="auto"/>
            <w:vMerge/>
            <w:tcBorders>
              <w:top w:val="nil"/>
              <w:left w:val="nil"/>
              <w:bottom w:val="nil"/>
              <w:right w:val="nil"/>
            </w:tcBorders>
            <w:vAlign w:val="center"/>
            <w:hideMark/>
          </w:tcPr>
          <w:p w14:paraId="368A392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FBF92F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2376DD7C"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-0.04</w:t>
            </w:r>
          </w:p>
        </w:tc>
        <w:tc>
          <w:tcPr>
            <w:tcW w:w="0" w:type="auto"/>
            <w:tcBorders>
              <w:top w:val="nil"/>
              <w:left w:val="nil"/>
              <w:bottom w:val="nil"/>
              <w:right w:val="nil"/>
            </w:tcBorders>
            <w:noWrap/>
            <w:tcMar>
              <w:top w:w="0" w:type="dxa"/>
              <w:left w:w="0" w:type="dxa"/>
              <w:bottom w:w="0" w:type="dxa"/>
              <w:right w:w="0" w:type="dxa"/>
            </w:tcMar>
            <w:vAlign w:val="bottom"/>
            <w:hideMark/>
          </w:tcPr>
          <w:p w14:paraId="221BB55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-0.02</w:t>
            </w:r>
          </w:p>
        </w:tc>
        <w:tc>
          <w:tcPr>
            <w:tcW w:w="0" w:type="auto"/>
            <w:tcBorders>
              <w:top w:val="nil"/>
              <w:left w:val="nil"/>
              <w:bottom w:val="nil"/>
              <w:right w:val="nil"/>
            </w:tcBorders>
            <w:noWrap/>
            <w:tcMar>
              <w:top w:w="0" w:type="dxa"/>
              <w:left w:w="0" w:type="dxa"/>
              <w:bottom w:w="0" w:type="dxa"/>
              <w:right w:w="0" w:type="dxa"/>
            </w:tcMar>
            <w:vAlign w:val="bottom"/>
            <w:hideMark/>
          </w:tcPr>
          <w:p w14:paraId="1C08958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-7.727, p &lt; 0.001 (Bonferroni corrected: p &lt; 0.001)</w:t>
            </w:r>
          </w:p>
        </w:tc>
      </w:tr>
      <w:tr w:rsidR="00836144" w:rsidRPr="00F66772" w14:paraId="64C82727" w14:textId="77777777">
        <w:trPr>
          <w:tblCellSpacing w:w="15" w:type="dxa"/>
        </w:trPr>
        <w:tc>
          <w:tcPr>
            <w:tcW w:w="0" w:type="auto"/>
            <w:vMerge/>
            <w:tcBorders>
              <w:top w:val="nil"/>
              <w:left w:val="nil"/>
              <w:bottom w:val="nil"/>
              <w:right w:val="nil"/>
            </w:tcBorders>
            <w:vAlign w:val="center"/>
            <w:hideMark/>
          </w:tcPr>
          <w:p w14:paraId="6C57842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475297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4DC5036A"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-0.68, 0.60</w:t>
            </w:r>
          </w:p>
        </w:tc>
        <w:tc>
          <w:tcPr>
            <w:tcW w:w="0" w:type="auto"/>
            <w:tcBorders>
              <w:top w:val="nil"/>
              <w:left w:val="nil"/>
              <w:bottom w:val="nil"/>
              <w:right w:val="nil"/>
            </w:tcBorders>
            <w:noWrap/>
            <w:tcMar>
              <w:top w:w="0" w:type="dxa"/>
              <w:left w:w="0" w:type="dxa"/>
              <w:bottom w:w="0" w:type="dxa"/>
              <w:right w:w="0" w:type="dxa"/>
            </w:tcMar>
            <w:vAlign w:val="bottom"/>
            <w:hideMark/>
          </w:tcPr>
          <w:p w14:paraId="1A20C81C"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-0.66, 0.61</w:t>
            </w:r>
          </w:p>
        </w:tc>
        <w:tc>
          <w:tcPr>
            <w:tcW w:w="0" w:type="auto"/>
            <w:tcBorders>
              <w:top w:val="nil"/>
              <w:left w:val="nil"/>
              <w:bottom w:val="nil"/>
              <w:right w:val="nil"/>
            </w:tcBorders>
            <w:noWrap/>
            <w:tcMar>
              <w:top w:w="0" w:type="dxa"/>
              <w:left w:w="0" w:type="dxa"/>
              <w:bottom w:w="0" w:type="dxa"/>
              <w:right w:w="0" w:type="dxa"/>
            </w:tcMar>
            <w:vAlign w:val="bottom"/>
            <w:hideMark/>
          </w:tcPr>
          <w:p w14:paraId="76A9A26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5889C4C7" w14:textId="77777777">
        <w:trPr>
          <w:tblCellSpacing w:w="15" w:type="dxa"/>
        </w:trPr>
        <w:tc>
          <w:tcPr>
            <w:tcW w:w="0" w:type="auto"/>
            <w:vMerge/>
            <w:tcBorders>
              <w:top w:val="nil"/>
              <w:left w:val="nil"/>
              <w:bottom w:val="nil"/>
              <w:right w:val="nil"/>
            </w:tcBorders>
            <w:vAlign w:val="center"/>
            <w:hideMark/>
          </w:tcPr>
          <w:p w14:paraId="6D92E5F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78E57E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6ACE307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0.33</w:t>
            </w:r>
          </w:p>
        </w:tc>
        <w:tc>
          <w:tcPr>
            <w:tcW w:w="0" w:type="auto"/>
            <w:tcBorders>
              <w:top w:val="nil"/>
              <w:left w:val="nil"/>
              <w:bottom w:val="nil"/>
              <w:right w:val="nil"/>
            </w:tcBorders>
            <w:noWrap/>
            <w:tcMar>
              <w:top w:w="0" w:type="dxa"/>
              <w:left w:w="0" w:type="dxa"/>
              <w:bottom w:w="0" w:type="dxa"/>
              <w:right w:w="0" w:type="dxa"/>
            </w:tcMar>
            <w:vAlign w:val="bottom"/>
            <w:hideMark/>
          </w:tcPr>
          <w:p w14:paraId="032674B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0.33</w:t>
            </w:r>
          </w:p>
        </w:tc>
        <w:tc>
          <w:tcPr>
            <w:tcW w:w="0" w:type="auto"/>
            <w:tcBorders>
              <w:top w:val="nil"/>
              <w:left w:val="nil"/>
              <w:bottom w:val="nil"/>
              <w:right w:val="nil"/>
            </w:tcBorders>
            <w:noWrap/>
            <w:tcMar>
              <w:top w:w="0" w:type="dxa"/>
              <w:left w:w="0" w:type="dxa"/>
              <w:bottom w:w="0" w:type="dxa"/>
              <w:right w:w="0" w:type="dxa"/>
            </w:tcMar>
            <w:vAlign w:val="bottom"/>
            <w:hideMark/>
          </w:tcPr>
          <w:p w14:paraId="7558538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06711A71" w14:textId="77777777">
        <w:trPr>
          <w:tblCellSpacing w:w="15" w:type="dxa"/>
        </w:trPr>
        <w:tc>
          <w:tcPr>
            <w:tcW w:w="0" w:type="auto"/>
            <w:vMerge/>
            <w:tcBorders>
              <w:top w:val="nil"/>
              <w:left w:val="nil"/>
              <w:bottom w:val="nil"/>
              <w:right w:val="nil"/>
            </w:tcBorders>
            <w:vAlign w:val="center"/>
            <w:hideMark/>
          </w:tcPr>
          <w:p w14:paraId="384EE99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66379BA" w14:textId="582A2224"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7141BFCA"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tcBorders>
              <w:top w:val="nil"/>
              <w:left w:val="nil"/>
              <w:bottom w:val="nil"/>
              <w:right w:val="nil"/>
            </w:tcBorders>
            <w:noWrap/>
            <w:tcMar>
              <w:top w:w="0" w:type="dxa"/>
              <w:left w:w="0" w:type="dxa"/>
              <w:bottom w:w="0" w:type="dxa"/>
              <w:right w:w="0" w:type="dxa"/>
            </w:tcMar>
            <w:vAlign w:val="bottom"/>
            <w:hideMark/>
          </w:tcPr>
          <w:p w14:paraId="0267A5D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88.3%</w:t>
            </w:r>
          </w:p>
        </w:tc>
        <w:tc>
          <w:tcPr>
            <w:tcW w:w="0" w:type="auto"/>
            <w:tcBorders>
              <w:top w:val="nil"/>
              <w:left w:val="nil"/>
              <w:bottom w:val="nil"/>
              <w:right w:val="nil"/>
            </w:tcBorders>
            <w:noWrap/>
            <w:tcMar>
              <w:top w:w="0" w:type="dxa"/>
              <w:left w:w="0" w:type="dxa"/>
              <w:bottom w:w="0" w:type="dxa"/>
              <w:right w:w="0" w:type="dxa"/>
            </w:tcMar>
            <w:vAlign w:val="bottom"/>
            <w:hideMark/>
          </w:tcPr>
          <w:p w14:paraId="5D50F91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p>
        </w:tc>
      </w:tr>
      <w:tr w:rsidR="00836144" w:rsidRPr="00F66772" w14:paraId="10F4BA5E" w14:textId="77777777">
        <w:trPr>
          <w:tblCellSpacing w:w="15" w:type="dxa"/>
        </w:trPr>
        <w:tc>
          <w:tcPr>
            <w:tcW w:w="0" w:type="auto"/>
            <w:vMerge/>
            <w:tcBorders>
              <w:top w:val="nil"/>
              <w:left w:val="nil"/>
              <w:bottom w:val="nil"/>
              <w:right w:val="nil"/>
            </w:tcBorders>
            <w:vAlign w:val="center"/>
            <w:hideMark/>
          </w:tcPr>
          <w:p w14:paraId="3C1009D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E55433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38002F82"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26279</w:t>
            </w:r>
          </w:p>
        </w:tc>
        <w:tc>
          <w:tcPr>
            <w:tcW w:w="0" w:type="auto"/>
            <w:tcBorders>
              <w:top w:val="nil"/>
              <w:left w:val="nil"/>
              <w:bottom w:val="nil"/>
              <w:right w:val="nil"/>
            </w:tcBorders>
            <w:noWrap/>
            <w:tcMar>
              <w:top w:w="0" w:type="dxa"/>
              <w:left w:w="0" w:type="dxa"/>
              <w:bottom w:w="0" w:type="dxa"/>
              <w:right w:w="0" w:type="dxa"/>
            </w:tcMar>
            <w:vAlign w:val="bottom"/>
            <w:hideMark/>
          </w:tcPr>
          <w:p w14:paraId="7A2B4D3D"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26305</w:t>
            </w:r>
          </w:p>
        </w:tc>
        <w:tc>
          <w:tcPr>
            <w:tcW w:w="0" w:type="auto"/>
            <w:tcBorders>
              <w:top w:val="nil"/>
              <w:left w:val="nil"/>
              <w:bottom w:val="nil"/>
              <w:right w:val="nil"/>
            </w:tcBorders>
            <w:noWrap/>
            <w:tcMar>
              <w:top w:w="0" w:type="dxa"/>
              <w:left w:w="0" w:type="dxa"/>
              <w:bottom w:w="0" w:type="dxa"/>
              <w:right w:w="0" w:type="dxa"/>
            </w:tcMar>
            <w:vAlign w:val="bottom"/>
            <w:hideMark/>
          </w:tcPr>
          <w:p w14:paraId="6A3F142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0.134, p = 0.714 (Bonferroni corrected: p = 1.000)</w:t>
            </w:r>
          </w:p>
        </w:tc>
      </w:tr>
      <w:tr w:rsidR="00836144" w:rsidRPr="00F66772" w14:paraId="0E25337F" w14:textId="77777777">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179E635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Two-Compartment Bayesian Trough</w:t>
            </w:r>
          </w:p>
        </w:tc>
        <w:tc>
          <w:tcPr>
            <w:tcW w:w="0" w:type="auto"/>
            <w:tcBorders>
              <w:top w:val="nil"/>
              <w:left w:val="nil"/>
              <w:bottom w:val="nil"/>
              <w:right w:val="nil"/>
            </w:tcBorders>
            <w:noWrap/>
            <w:tcMar>
              <w:top w:w="0" w:type="dxa"/>
              <w:left w:w="0" w:type="dxa"/>
              <w:bottom w:w="0" w:type="dxa"/>
              <w:right w:w="0" w:type="dxa"/>
            </w:tcMar>
            <w:vAlign w:val="bottom"/>
            <w:hideMark/>
          </w:tcPr>
          <w:p w14:paraId="3255ED7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2584383D"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-10.22</w:t>
            </w:r>
          </w:p>
        </w:tc>
        <w:tc>
          <w:tcPr>
            <w:tcW w:w="0" w:type="auto"/>
            <w:tcBorders>
              <w:top w:val="nil"/>
              <w:left w:val="nil"/>
              <w:bottom w:val="nil"/>
              <w:right w:val="nil"/>
            </w:tcBorders>
            <w:noWrap/>
            <w:tcMar>
              <w:top w:w="0" w:type="dxa"/>
              <w:left w:w="0" w:type="dxa"/>
              <w:bottom w:w="0" w:type="dxa"/>
              <w:right w:w="0" w:type="dxa"/>
            </w:tcMar>
            <w:vAlign w:val="bottom"/>
            <w:hideMark/>
          </w:tcPr>
          <w:p w14:paraId="5C6E4A9C"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-5.24</w:t>
            </w:r>
          </w:p>
        </w:tc>
        <w:tc>
          <w:tcPr>
            <w:tcW w:w="0" w:type="auto"/>
            <w:tcBorders>
              <w:top w:val="nil"/>
              <w:left w:val="nil"/>
              <w:bottom w:val="nil"/>
              <w:right w:val="nil"/>
            </w:tcBorders>
            <w:noWrap/>
            <w:tcMar>
              <w:top w:w="0" w:type="dxa"/>
              <w:left w:w="0" w:type="dxa"/>
              <w:bottom w:w="0" w:type="dxa"/>
              <w:right w:w="0" w:type="dxa"/>
            </w:tcMar>
            <w:vAlign w:val="bottom"/>
            <w:hideMark/>
          </w:tcPr>
          <w:p w14:paraId="0E31235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-14.379, p &lt; 0.001 (Bonferroni corrected: p &lt; 0.001)</w:t>
            </w:r>
          </w:p>
        </w:tc>
      </w:tr>
      <w:tr w:rsidR="00836144" w:rsidRPr="00F66772" w14:paraId="16D9491A" w14:textId="77777777">
        <w:trPr>
          <w:tblCellSpacing w:w="15" w:type="dxa"/>
        </w:trPr>
        <w:tc>
          <w:tcPr>
            <w:tcW w:w="0" w:type="auto"/>
            <w:vMerge/>
            <w:tcBorders>
              <w:top w:val="nil"/>
              <w:left w:val="nil"/>
              <w:bottom w:val="nil"/>
              <w:right w:val="nil"/>
            </w:tcBorders>
            <w:vAlign w:val="center"/>
            <w:hideMark/>
          </w:tcPr>
          <w:p w14:paraId="44354AC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B82A49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6DF1D93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56.34</w:t>
            </w:r>
          </w:p>
        </w:tc>
        <w:tc>
          <w:tcPr>
            <w:tcW w:w="0" w:type="auto"/>
            <w:tcBorders>
              <w:top w:val="nil"/>
              <w:left w:val="nil"/>
              <w:bottom w:val="nil"/>
              <w:right w:val="nil"/>
            </w:tcBorders>
            <w:noWrap/>
            <w:tcMar>
              <w:top w:w="0" w:type="dxa"/>
              <w:left w:w="0" w:type="dxa"/>
              <w:bottom w:w="0" w:type="dxa"/>
              <w:right w:w="0" w:type="dxa"/>
            </w:tcMar>
            <w:vAlign w:val="bottom"/>
            <w:hideMark/>
          </w:tcPr>
          <w:p w14:paraId="722756C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55.33</w:t>
            </w:r>
          </w:p>
        </w:tc>
        <w:tc>
          <w:tcPr>
            <w:tcW w:w="0" w:type="auto"/>
            <w:tcBorders>
              <w:top w:val="nil"/>
              <w:left w:val="nil"/>
              <w:bottom w:val="nil"/>
              <w:right w:val="nil"/>
            </w:tcBorders>
            <w:noWrap/>
            <w:tcMar>
              <w:top w:w="0" w:type="dxa"/>
              <w:left w:w="0" w:type="dxa"/>
              <w:bottom w:w="0" w:type="dxa"/>
              <w:right w:w="0" w:type="dxa"/>
            </w:tcMar>
            <w:vAlign w:val="bottom"/>
            <w:hideMark/>
          </w:tcPr>
          <w:p w14:paraId="6A388F2B"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2A9A97B4" w14:textId="77777777">
        <w:trPr>
          <w:tblCellSpacing w:w="15" w:type="dxa"/>
        </w:trPr>
        <w:tc>
          <w:tcPr>
            <w:tcW w:w="0" w:type="auto"/>
            <w:vMerge/>
            <w:tcBorders>
              <w:top w:val="nil"/>
              <w:left w:val="nil"/>
              <w:bottom w:val="nil"/>
              <w:right w:val="nil"/>
            </w:tcBorders>
            <w:vAlign w:val="center"/>
            <w:hideMark/>
          </w:tcPr>
          <w:p w14:paraId="28D6342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C9C71F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58CE20B2"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-118.81, 98.38</w:t>
            </w:r>
          </w:p>
        </w:tc>
        <w:tc>
          <w:tcPr>
            <w:tcW w:w="0" w:type="auto"/>
            <w:tcBorders>
              <w:top w:val="nil"/>
              <w:left w:val="nil"/>
              <w:bottom w:val="nil"/>
              <w:right w:val="nil"/>
            </w:tcBorders>
            <w:noWrap/>
            <w:tcMar>
              <w:top w:w="0" w:type="dxa"/>
              <w:left w:w="0" w:type="dxa"/>
              <w:bottom w:w="0" w:type="dxa"/>
              <w:right w:w="0" w:type="dxa"/>
            </w:tcMar>
            <w:vAlign w:val="bottom"/>
            <w:hideMark/>
          </w:tcPr>
          <w:p w14:paraId="76C93D6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-113.20, 102.73</w:t>
            </w:r>
          </w:p>
        </w:tc>
        <w:tc>
          <w:tcPr>
            <w:tcW w:w="0" w:type="auto"/>
            <w:tcBorders>
              <w:top w:val="nil"/>
              <w:left w:val="nil"/>
              <w:bottom w:val="nil"/>
              <w:right w:val="nil"/>
            </w:tcBorders>
            <w:noWrap/>
            <w:tcMar>
              <w:top w:w="0" w:type="dxa"/>
              <w:left w:w="0" w:type="dxa"/>
              <w:bottom w:w="0" w:type="dxa"/>
              <w:right w:w="0" w:type="dxa"/>
            </w:tcMar>
            <w:vAlign w:val="bottom"/>
            <w:hideMark/>
          </w:tcPr>
          <w:p w14:paraId="21468CF7"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7BEC81AF" w14:textId="77777777">
        <w:trPr>
          <w:tblCellSpacing w:w="15" w:type="dxa"/>
        </w:trPr>
        <w:tc>
          <w:tcPr>
            <w:tcW w:w="0" w:type="auto"/>
            <w:vMerge/>
            <w:tcBorders>
              <w:top w:val="nil"/>
              <w:left w:val="nil"/>
              <w:bottom w:val="nil"/>
              <w:right w:val="nil"/>
            </w:tcBorders>
            <w:vAlign w:val="center"/>
            <w:hideMark/>
          </w:tcPr>
          <w:p w14:paraId="07BAA22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DEC13E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04C54FC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tcBorders>
              <w:top w:val="nil"/>
              <w:left w:val="nil"/>
              <w:bottom w:val="nil"/>
              <w:right w:val="nil"/>
            </w:tcBorders>
            <w:noWrap/>
            <w:tcMar>
              <w:top w:w="0" w:type="dxa"/>
              <w:left w:w="0" w:type="dxa"/>
              <w:bottom w:w="0" w:type="dxa"/>
              <w:right w:w="0" w:type="dxa"/>
            </w:tcMar>
            <w:vAlign w:val="bottom"/>
            <w:hideMark/>
          </w:tcPr>
          <w:p w14:paraId="20934A1C"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tcBorders>
              <w:top w:val="nil"/>
              <w:left w:val="nil"/>
              <w:bottom w:val="nil"/>
              <w:right w:val="nil"/>
            </w:tcBorders>
            <w:noWrap/>
            <w:tcMar>
              <w:top w:w="0" w:type="dxa"/>
              <w:left w:w="0" w:type="dxa"/>
              <w:bottom w:w="0" w:type="dxa"/>
              <w:right w:w="0" w:type="dxa"/>
            </w:tcMar>
            <w:vAlign w:val="bottom"/>
            <w:hideMark/>
          </w:tcPr>
          <w:p w14:paraId="4D8ED77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69BB2294" w14:textId="77777777">
        <w:trPr>
          <w:tblCellSpacing w:w="15" w:type="dxa"/>
        </w:trPr>
        <w:tc>
          <w:tcPr>
            <w:tcW w:w="0" w:type="auto"/>
            <w:vMerge/>
            <w:tcBorders>
              <w:top w:val="nil"/>
              <w:left w:val="nil"/>
              <w:bottom w:val="nil"/>
              <w:right w:val="nil"/>
            </w:tcBorders>
            <w:vAlign w:val="center"/>
            <w:hideMark/>
          </w:tcPr>
          <w:p w14:paraId="3B38232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3A8ECA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328A9A1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-0.66%</w:t>
            </w:r>
          </w:p>
        </w:tc>
        <w:tc>
          <w:tcPr>
            <w:tcW w:w="0" w:type="auto"/>
            <w:tcBorders>
              <w:top w:val="nil"/>
              <w:left w:val="nil"/>
              <w:bottom w:val="nil"/>
              <w:right w:val="nil"/>
            </w:tcBorders>
            <w:noWrap/>
            <w:tcMar>
              <w:top w:w="0" w:type="dxa"/>
              <w:left w:w="0" w:type="dxa"/>
              <w:bottom w:w="0" w:type="dxa"/>
              <w:right w:w="0" w:type="dxa"/>
            </w:tcMar>
            <w:vAlign w:val="bottom"/>
            <w:hideMark/>
          </w:tcPr>
          <w:p w14:paraId="0A45D71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tcBorders>
              <w:top w:val="nil"/>
              <w:left w:val="nil"/>
              <w:bottom w:val="nil"/>
              <w:right w:val="nil"/>
            </w:tcBorders>
            <w:noWrap/>
            <w:tcMar>
              <w:top w:w="0" w:type="dxa"/>
              <w:left w:w="0" w:type="dxa"/>
              <w:bottom w:w="0" w:type="dxa"/>
              <w:right w:w="0" w:type="dxa"/>
            </w:tcMar>
            <w:vAlign w:val="bottom"/>
            <w:hideMark/>
          </w:tcPr>
          <w:p w14:paraId="345987C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36144" w:rsidRPr="00F66772" w14:paraId="62C0E80E" w14:textId="77777777">
        <w:trPr>
          <w:tblCellSpacing w:w="15" w:type="dxa"/>
        </w:trPr>
        <w:tc>
          <w:tcPr>
            <w:tcW w:w="0" w:type="auto"/>
            <w:vMerge/>
            <w:tcBorders>
              <w:top w:val="nil"/>
              <w:left w:val="nil"/>
              <w:bottom w:val="nil"/>
              <w:right w:val="nil"/>
            </w:tcBorders>
            <w:vAlign w:val="center"/>
            <w:hideMark/>
          </w:tcPr>
          <w:p w14:paraId="4B2A6B92"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56D97C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4864A20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0.01</w:t>
            </w:r>
          </w:p>
        </w:tc>
        <w:tc>
          <w:tcPr>
            <w:tcW w:w="0" w:type="auto"/>
            <w:tcBorders>
              <w:top w:val="nil"/>
              <w:left w:val="nil"/>
              <w:bottom w:val="nil"/>
              <w:right w:val="nil"/>
            </w:tcBorders>
            <w:noWrap/>
            <w:tcMar>
              <w:top w:w="0" w:type="dxa"/>
              <w:left w:w="0" w:type="dxa"/>
              <w:bottom w:w="0" w:type="dxa"/>
              <w:right w:w="0" w:type="dxa"/>
            </w:tcMar>
            <w:vAlign w:val="bottom"/>
            <w:hideMark/>
          </w:tcPr>
          <w:p w14:paraId="57A8E69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0.01</w:t>
            </w:r>
          </w:p>
        </w:tc>
        <w:tc>
          <w:tcPr>
            <w:tcW w:w="0" w:type="auto"/>
            <w:tcBorders>
              <w:top w:val="nil"/>
              <w:left w:val="nil"/>
              <w:bottom w:val="nil"/>
              <w:right w:val="nil"/>
            </w:tcBorders>
            <w:noWrap/>
            <w:tcMar>
              <w:top w:w="0" w:type="dxa"/>
              <w:left w:w="0" w:type="dxa"/>
              <w:bottom w:w="0" w:type="dxa"/>
              <w:right w:w="0" w:type="dxa"/>
            </w:tcMar>
            <w:vAlign w:val="bottom"/>
            <w:hideMark/>
          </w:tcPr>
          <w:p w14:paraId="05A33F52"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3.795, p &lt; 0.001 (Bonferroni corrected: p &lt; 0.001)</w:t>
            </w:r>
          </w:p>
        </w:tc>
      </w:tr>
      <w:tr w:rsidR="00836144" w:rsidRPr="00F66772" w14:paraId="3AA23EF3" w14:textId="77777777">
        <w:trPr>
          <w:tblCellSpacing w:w="15" w:type="dxa"/>
        </w:trPr>
        <w:tc>
          <w:tcPr>
            <w:tcW w:w="0" w:type="auto"/>
            <w:vMerge/>
            <w:tcBorders>
              <w:top w:val="nil"/>
              <w:left w:val="nil"/>
              <w:bottom w:val="nil"/>
              <w:right w:val="nil"/>
            </w:tcBorders>
            <w:vAlign w:val="center"/>
            <w:hideMark/>
          </w:tcPr>
          <w:p w14:paraId="1D9354E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82DDAE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5233520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-0.88, 0.91</w:t>
            </w:r>
          </w:p>
        </w:tc>
        <w:tc>
          <w:tcPr>
            <w:tcW w:w="0" w:type="auto"/>
            <w:tcBorders>
              <w:top w:val="nil"/>
              <w:left w:val="nil"/>
              <w:bottom w:val="nil"/>
              <w:right w:val="nil"/>
            </w:tcBorders>
            <w:noWrap/>
            <w:tcMar>
              <w:top w:w="0" w:type="dxa"/>
              <w:left w:w="0" w:type="dxa"/>
              <w:bottom w:w="0" w:type="dxa"/>
              <w:right w:w="0" w:type="dxa"/>
            </w:tcMar>
            <w:vAlign w:val="bottom"/>
            <w:hideMark/>
          </w:tcPr>
          <w:p w14:paraId="15DE409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-0.86, 0.87</w:t>
            </w:r>
          </w:p>
        </w:tc>
        <w:tc>
          <w:tcPr>
            <w:tcW w:w="0" w:type="auto"/>
            <w:tcBorders>
              <w:top w:val="nil"/>
              <w:left w:val="nil"/>
              <w:bottom w:val="nil"/>
              <w:right w:val="nil"/>
            </w:tcBorders>
            <w:noWrap/>
            <w:tcMar>
              <w:top w:w="0" w:type="dxa"/>
              <w:left w:w="0" w:type="dxa"/>
              <w:bottom w:w="0" w:type="dxa"/>
              <w:right w:w="0" w:type="dxa"/>
            </w:tcMar>
            <w:vAlign w:val="bottom"/>
            <w:hideMark/>
          </w:tcPr>
          <w:p w14:paraId="0A60B23B"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49E327A4" w14:textId="77777777">
        <w:trPr>
          <w:tblCellSpacing w:w="15" w:type="dxa"/>
        </w:trPr>
        <w:tc>
          <w:tcPr>
            <w:tcW w:w="0" w:type="auto"/>
            <w:vMerge/>
            <w:tcBorders>
              <w:top w:val="nil"/>
              <w:left w:val="nil"/>
              <w:bottom w:val="nil"/>
              <w:right w:val="nil"/>
            </w:tcBorders>
            <w:vAlign w:val="center"/>
            <w:hideMark/>
          </w:tcPr>
          <w:p w14:paraId="7D55CEF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FF28A2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76AB476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0.46</w:t>
            </w:r>
          </w:p>
        </w:tc>
        <w:tc>
          <w:tcPr>
            <w:tcW w:w="0" w:type="auto"/>
            <w:tcBorders>
              <w:top w:val="nil"/>
              <w:left w:val="nil"/>
              <w:bottom w:val="nil"/>
              <w:right w:val="nil"/>
            </w:tcBorders>
            <w:noWrap/>
            <w:tcMar>
              <w:top w:w="0" w:type="dxa"/>
              <w:left w:w="0" w:type="dxa"/>
              <w:bottom w:w="0" w:type="dxa"/>
              <w:right w:w="0" w:type="dxa"/>
            </w:tcMar>
            <w:vAlign w:val="bottom"/>
            <w:hideMark/>
          </w:tcPr>
          <w:p w14:paraId="23DEDB3D"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0.44</w:t>
            </w:r>
          </w:p>
        </w:tc>
        <w:tc>
          <w:tcPr>
            <w:tcW w:w="0" w:type="auto"/>
            <w:tcBorders>
              <w:top w:val="nil"/>
              <w:left w:val="nil"/>
              <w:bottom w:val="nil"/>
              <w:right w:val="nil"/>
            </w:tcBorders>
            <w:noWrap/>
            <w:tcMar>
              <w:top w:w="0" w:type="dxa"/>
              <w:left w:w="0" w:type="dxa"/>
              <w:bottom w:w="0" w:type="dxa"/>
              <w:right w:w="0" w:type="dxa"/>
            </w:tcMar>
            <w:vAlign w:val="bottom"/>
            <w:hideMark/>
          </w:tcPr>
          <w:p w14:paraId="378D7C37"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69586FA1" w14:textId="77777777">
        <w:trPr>
          <w:tblCellSpacing w:w="15" w:type="dxa"/>
        </w:trPr>
        <w:tc>
          <w:tcPr>
            <w:tcW w:w="0" w:type="auto"/>
            <w:vMerge/>
            <w:tcBorders>
              <w:top w:val="nil"/>
              <w:left w:val="nil"/>
              <w:bottom w:val="nil"/>
              <w:right w:val="nil"/>
            </w:tcBorders>
            <w:vAlign w:val="center"/>
            <w:hideMark/>
          </w:tcPr>
          <w:p w14:paraId="2A749A5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652CF2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41E2F90B"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tcBorders>
              <w:top w:val="nil"/>
              <w:left w:val="nil"/>
              <w:bottom w:val="nil"/>
              <w:right w:val="nil"/>
            </w:tcBorders>
            <w:noWrap/>
            <w:tcMar>
              <w:top w:w="0" w:type="dxa"/>
              <w:left w:w="0" w:type="dxa"/>
              <w:bottom w:w="0" w:type="dxa"/>
              <w:right w:w="0" w:type="dxa"/>
            </w:tcMar>
            <w:vAlign w:val="bottom"/>
            <w:hideMark/>
          </w:tcPr>
          <w:p w14:paraId="3B78F2F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tcBorders>
              <w:top w:val="nil"/>
              <w:left w:val="nil"/>
              <w:bottom w:val="nil"/>
              <w:right w:val="nil"/>
            </w:tcBorders>
            <w:noWrap/>
            <w:tcMar>
              <w:top w:w="0" w:type="dxa"/>
              <w:left w:w="0" w:type="dxa"/>
              <w:bottom w:w="0" w:type="dxa"/>
              <w:right w:w="0" w:type="dxa"/>
            </w:tcMar>
            <w:vAlign w:val="bottom"/>
            <w:hideMark/>
          </w:tcPr>
          <w:p w14:paraId="2A0DAAA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p>
        </w:tc>
      </w:tr>
      <w:tr w:rsidR="00836144" w:rsidRPr="00F66772" w14:paraId="731D0747" w14:textId="77777777">
        <w:trPr>
          <w:tblCellSpacing w:w="15" w:type="dxa"/>
        </w:trPr>
        <w:tc>
          <w:tcPr>
            <w:tcW w:w="0" w:type="auto"/>
            <w:vMerge/>
            <w:tcBorders>
              <w:top w:val="nil"/>
              <w:left w:val="nil"/>
              <w:bottom w:val="nil"/>
              <w:right w:val="nil"/>
            </w:tcBorders>
            <w:vAlign w:val="center"/>
            <w:hideMark/>
          </w:tcPr>
          <w:p w14:paraId="00BF5EB7"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8A1432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6D9B3E7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24899</w:t>
            </w:r>
          </w:p>
        </w:tc>
        <w:tc>
          <w:tcPr>
            <w:tcW w:w="0" w:type="auto"/>
            <w:tcBorders>
              <w:top w:val="nil"/>
              <w:left w:val="nil"/>
              <w:bottom w:val="nil"/>
              <w:right w:val="nil"/>
            </w:tcBorders>
            <w:noWrap/>
            <w:tcMar>
              <w:top w:w="0" w:type="dxa"/>
              <w:left w:w="0" w:type="dxa"/>
              <w:bottom w:w="0" w:type="dxa"/>
              <w:right w:w="0" w:type="dxa"/>
            </w:tcMar>
            <w:vAlign w:val="bottom"/>
            <w:hideMark/>
          </w:tcPr>
          <w:p w14:paraId="77B818B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24897</w:t>
            </w:r>
          </w:p>
        </w:tc>
        <w:tc>
          <w:tcPr>
            <w:tcW w:w="0" w:type="auto"/>
            <w:tcBorders>
              <w:top w:val="nil"/>
              <w:left w:val="nil"/>
              <w:bottom w:val="nil"/>
              <w:right w:val="nil"/>
            </w:tcBorders>
            <w:noWrap/>
            <w:tcMar>
              <w:top w:w="0" w:type="dxa"/>
              <w:left w:w="0" w:type="dxa"/>
              <w:bottom w:w="0" w:type="dxa"/>
              <w:right w:w="0" w:type="dxa"/>
            </w:tcMar>
            <w:vAlign w:val="bottom"/>
            <w:hideMark/>
          </w:tcPr>
          <w:p w14:paraId="6C9A362B"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0.000, p = 0.988</w:t>
            </w:r>
          </w:p>
        </w:tc>
      </w:tr>
      <w:tr w:rsidR="00836144" w:rsidRPr="00F66772" w14:paraId="62ED8CAB" w14:textId="77777777">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3BAD322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Fixed VD Trough vs </w:t>
            </w:r>
            <w:r w:rsidRPr="00F66772">
              <w:rPr>
                <w:rFonts w:ascii="Times New Roman" w:eastAsia="Times New Roman" w:hAnsi="Times New Roman" w:cs="Times New Roman"/>
                <w:color w:val="000000"/>
                <w:kern w:val="0"/>
                <w:sz w:val="20"/>
                <w:szCs w:val="20"/>
                <w14:ligatures w14:val="none"/>
              </w:rPr>
              <w:br/>
            </w:r>
            <w:r w:rsidRPr="00F66772">
              <w:rPr>
                <w:rFonts w:ascii="Times New Roman" w:eastAsia="Times New Roman" w:hAnsi="Times New Roman" w:cs="Times New Roman"/>
                <w:color w:val="000000"/>
                <w:kern w:val="0"/>
                <w:sz w:val="20"/>
                <w:szCs w:val="20"/>
                <w14:ligatures w14:val="none"/>
              </w:rPr>
              <w:lastRenderedPageBreak/>
              <w:t>Two-Compartment Bayesian Trough</w:t>
            </w:r>
          </w:p>
        </w:tc>
        <w:tc>
          <w:tcPr>
            <w:tcW w:w="0" w:type="auto"/>
            <w:tcBorders>
              <w:top w:val="nil"/>
              <w:left w:val="nil"/>
              <w:bottom w:val="nil"/>
              <w:right w:val="nil"/>
            </w:tcBorders>
            <w:noWrap/>
            <w:tcMar>
              <w:top w:w="0" w:type="dxa"/>
              <w:left w:w="0" w:type="dxa"/>
              <w:bottom w:w="0" w:type="dxa"/>
              <w:right w:w="0" w:type="dxa"/>
            </w:tcMar>
            <w:vAlign w:val="bottom"/>
            <w:hideMark/>
          </w:tcPr>
          <w:p w14:paraId="7E6978F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lastRenderedPageBreak/>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2F51F55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-15.03</w:t>
            </w:r>
          </w:p>
        </w:tc>
        <w:tc>
          <w:tcPr>
            <w:tcW w:w="0" w:type="auto"/>
            <w:tcBorders>
              <w:top w:val="nil"/>
              <w:left w:val="nil"/>
              <w:bottom w:val="nil"/>
              <w:right w:val="nil"/>
            </w:tcBorders>
            <w:noWrap/>
            <w:tcMar>
              <w:top w:w="0" w:type="dxa"/>
              <w:left w:w="0" w:type="dxa"/>
              <w:bottom w:w="0" w:type="dxa"/>
              <w:right w:w="0" w:type="dxa"/>
            </w:tcMar>
            <w:vAlign w:val="bottom"/>
            <w:hideMark/>
          </w:tcPr>
          <w:p w14:paraId="763EF0FC"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-5.24</w:t>
            </w:r>
          </w:p>
        </w:tc>
        <w:tc>
          <w:tcPr>
            <w:tcW w:w="0" w:type="auto"/>
            <w:tcBorders>
              <w:top w:val="nil"/>
              <w:left w:val="nil"/>
              <w:bottom w:val="nil"/>
              <w:right w:val="nil"/>
            </w:tcBorders>
            <w:noWrap/>
            <w:tcMar>
              <w:top w:w="0" w:type="dxa"/>
              <w:left w:w="0" w:type="dxa"/>
              <w:bottom w:w="0" w:type="dxa"/>
              <w:right w:w="0" w:type="dxa"/>
            </w:tcMar>
            <w:vAlign w:val="bottom"/>
            <w:hideMark/>
          </w:tcPr>
          <w:p w14:paraId="67AFEB9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-26.825, p &lt; 0.001 (Bonferroni corrected: p &lt; 0.001)</w:t>
            </w:r>
          </w:p>
        </w:tc>
      </w:tr>
      <w:tr w:rsidR="00836144" w:rsidRPr="00F66772" w14:paraId="48144BD9" w14:textId="77777777">
        <w:trPr>
          <w:tblCellSpacing w:w="15" w:type="dxa"/>
        </w:trPr>
        <w:tc>
          <w:tcPr>
            <w:tcW w:w="0" w:type="auto"/>
            <w:vMerge/>
            <w:tcBorders>
              <w:top w:val="nil"/>
              <w:left w:val="nil"/>
              <w:bottom w:val="nil"/>
              <w:right w:val="nil"/>
            </w:tcBorders>
            <w:vAlign w:val="center"/>
            <w:hideMark/>
          </w:tcPr>
          <w:p w14:paraId="4E3A584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F59AC0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1E297BA3"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58.01</w:t>
            </w:r>
          </w:p>
        </w:tc>
        <w:tc>
          <w:tcPr>
            <w:tcW w:w="0" w:type="auto"/>
            <w:tcBorders>
              <w:top w:val="nil"/>
              <w:left w:val="nil"/>
              <w:bottom w:val="nil"/>
              <w:right w:val="nil"/>
            </w:tcBorders>
            <w:noWrap/>
            <w:tcMar>
              <w:top w:w="0" w:type="dxa"/>
              <w:left w:w="0" w:type="dxa"/>
              <w:bottom w:w="0" w:type="dxa"/>
              <w:right w:w="0" w:type="dxa"/>
            </w:tcMar>
            <w:vAlign w:val="bottom"/>
            <w:hideMark/>
          </w:tcPr>
          <w:p w14:paraId="3878CFB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55.33</w:t>
            </w:r>
          </w:p>
        </w:tc>
        <w:tc>
          <w:tcPr>
            <w:tcW w:w="0" w:type="auto"/>
            <w:tcBorders>
              <w:top w:val="nil"/>
              <w:left w:val="nil"/>
              <w:bottom w:val="nil"/>
              <w:right w:val="nil"/>
            </w:tcBorders>
            <w:noWrap/>
            <w:tcMar>
              <w:top w:w="0" w:type="dxa"/>
              <w:left w:w="0" w:type="dxa"/>
              <w:bottom w:w="0" w:type="dxa"/>
              <w:right w:w="0" w:type="dxa"/>
            </w:tcMar>
            <w:vAlign w:val="bottom"/>
            <w:hideMark/>
          </w:tcPr>
          <w:p w14:paraId="0DC48AF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04CE9A9E" w14:textId="77777777">
        <w:trPr>
          <w:tblCellSpacing w:w="15" w:type="dxa"/>
        </w:trPr>
        <w:tc>
          <w:tcPr>
            <w:tcW w:w="0" w:type="auto"/>
            <w:vMerge/>
            <w:tcBorders>
              <w:top w:val="nil"/>
              <w:left w:val="nil"/>
              <w:bottom w:val="nil"/>
              <w:right w:val="nil"/>
            </w:tcBorders>
            <w:vAlign w:val="center"/>
            <w:hideMark/>
          </w:tcPr>
          <w:p w14:paraId="4DAE920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D26153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790837DD"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-124.85, 94.79</w:t>
            </w:r>
          </w:p>
        </w:tc>
        <w:tc>
          <w:tcPr>
            <w:tcW w:w="0" w:type="auto"/>
            <w:tcBorders>
              <w:top w:val="nil"/>
              <w:left w:val="nil"/>
              <w:bottom w:val="nil"/>
              <w:right w:val="nil"/>
            </w:tcBorders>
            <w:noWrap/>
            <w:tcMar>
              <w:top w:w="0" w:type="dxa"/>
              <w:left w:w="0" w:type="dxa"/>
              <w:bottom w:w="0" w:type="dxa"/>
              <w:right w:w="0" w:type="dxa"/>
            </w:tcMar>
            <w:vAlign w:val="bottom"/>
            <w:hideMark/>
          </w:tcPr>
          <w:p w14:paraId="4B54208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-113.20, 102.73</w:t>
            </w:r>
          </w:p>
        </w:tc>
        <w:tc>
          <w:tcPr>
            <w:tcW w:w="0" w:type="auto"/>
            <w:tcBorders>
              <w:top w:val="nil"/>
              <w:left w:val="nil"/>
              <w:bottom w:val="nil"/>
              <w:right w:val="nil"/>
            </w:tcBorders>
            <w:noWrap/>
            <w:tcMar>
              <w:top w:w="0" w:type="dxa"/>
              <w:left w:w="0" w:type="dxa"/>
              <w:bottom w:w="0" w:type="dxa"/>
              <w:right w:w="0" w:type="dxa"/>
            </w:tcMar>
            <w:vAlign w:val="bottom"/>
            <w:hideMark/>
          </w:tcPr>
          <w:p w14:paraId="7570D5F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001151F6" w14:textId="77777777">
        <w:trPr>
          <w:tblCellSpacing w:w="15" w:type="dxa"/>
        </w:trPr>
        <w:tc>
          <w:tcPr>
            <w:tcW w:w="0" w:type="auto"/>
            <w:vMerge/>
            <w:tcBorders>
              <w:top w:val="nil"/>
              <w:left w:val="nil"/>
              <w:bottom w:val="nil"/>
              <w:right w:val="nil"/>
            </w:tcBorders>
            <w:vAlign w:val="center"/>
            <w:hideMark/>
          </w:tcPr>
          <w:p w14:paraId="050E3FF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EB9CDA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0912C24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tcBorders>
              <w:top w:val="nil"/>
              <w:left w:val="nil"/>
              <w:bottom w:val="nil"/>
              <w:right w:val="nil"/>
            </w:tcBorders>
            <w:noWrap/>
            <w:tcMar>
              <w:top w:w="0" w:type="dxa"/>
              <w:left w:w="0" w:type="dxa"/>
              <w:bottom w:w="0" w:type="dxa"/>
              <w:right w:w="0" w:type="dxa"/>
            </w:tcMar>
            <w:vAlign w:val="bottom"/>
            <w:hideMark/>
          </w:tcPr>
          <w:p w14:paraId="2FB4E6E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0.960</w:t>
            </w:r>
          </w:p>
        </w:tc>
        <w:tc>
          <w:tcPr>
            <w:tcW w:w="0" w:type="auto"/>
            <w:tcBorders>
              <w:top w:val="nil"/>
              <w:left w:val="nil"/>
              <w:bottom w:val="nil"/>
              <w:right w:val="nil"/>
            </w:tcBorders>
            <w:noWrap/>
            <w:tcMar>
              <w:top w:w="0" w:type="dxa"/>
              <w:left w:w="0" w:type="dxa"/>
              <w:bottom w:w="0" w:type="dxa"/>
              <w:right w:w="0" w:type="dxa"/>
            </w:tcMar>
            <w:vAlign w:val="bottom"/>
            <w:hideMark/>
          </w:tcPr>
          <w:p w14:paraId="4A0A169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336B66C1" w14:textId="77777777">
        <w:trPr>
          <w:tblCellSpacing w:w="15" w:type="dxa"/>
        </w:trPr>
        <w:tc>
          <w:tcPr>
            <w:tcW w:w="0" w:type="auto"/>
            <w:vMerge/>
            <w:tcBorders>
              <w:top w:val="nil"/>
              <w:left w:val="nil"/>
              <w:bottom w:val="nil"/>
              <w:right w:val="nil"/>
            </w:tcBorders>
            <w:vAlign w:val="center"/>
            <w:hideMark/>
          </w:tcPr>
          <w:p w14:paraId="3381F93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C41E12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2667BBE3"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-2.76%</w:t>
            </w:r>
          </w:p>
        </w:tc>
        <w:tc>
          <w:tcPr>
            <w:tcW w:w="0" w:type="auto"/>
            <w:tcBorders>
              <w:top w:val="nil"/>
              <w:left w:val="nil"/>
              <w:bottom w:val="nil"/>
              <w:right w:val="nil"/>
            </w:tcBorders>
            <w:noWrap/>
            <w:tcMar>
              <w:top w:w="0" w:type="dxa"/>
              <w:left w:w="0" w:type="dxa"/>
              <w:bottom w:w="0" w:type="dxa"/>
              <w:right w:w="0" w:type="dxa"/>
            </w:tcMar>
            <w:vAlign w:val="bottom"/>
            <w:hideMark/>
          </w:tcPr>
          <w:p w14:paraId="749FACB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tcBorders>
              <w:top w:val="nil"/>
              <w:left w:val="nil"/>
              <w:bottom w:val="nil"/>
              <w:right w:val="nil"/>
            </w:tcBorders>
            <w:noWrap/>
            <w:tcMar>
              <w:top w:w="0" w:type="dxa"/>
              <w:left w:w="0" w:type="dxa"/>
              <w:bottom w:w="0" w:type="dxa"/>
              <w:right w:w="0" w:type="dxa"/>
            </w:tcMar>
            <w:vAlign w:val="bottom"/>
            <w:hideMark/>
          </w:tcPr>
          <w:p w14:paraId="2CB1934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36144" w:rsidRPr="00F66772" w14:paraId="031CF895" w14:textId="77777777">
        <w:trPr>
          <w:tblCellSpacing w:w="15" w:type="dxa"/>
        </w:trPr>
        <w:tc>
          <w:tcPr>
            <w:tcW w:w="0" w:type="auto"/>
            <w:vMerge/>
            <w:tcBorders>
              <w:top w:val="nil"/>
              <w:left w:val="nil"/>
              <w:bottom w:val="nil"/>
              <w:right w:val="nil"/>
            </w:tcBorders>
            <w:vAlign w:val="center"/>
            <w:hideMark/>
          </w:tcPr>
          <w:p w14:paraId="3A51C5CB"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E1DC1C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069EEE1F"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0.18</w:t>
            </w:r>
          </w:p>
        </w:tc>
        <w:tc>
          <w:tcPr>
            <w:tcW w:w="0" w:type="auto"/>
            <w:tcBorders>
              <w:top w:val="nil"/>
              <w:left w:val="nil"/>
              <w:bottom w:val="nil"/>
              <w:right w:val="nil"/>
            </w:tcBorders>
            <w:noWrap/>
            <w:tcMar>
              <w:top w:w="0" w:type="dxa"/>
              <w:left w:w="0" w:type="dxa"/>
              <w:bottom w:w="0" w:type="dxa"/>
              <w:right w:w="0" w:type="dxa"/>
            </w:tcMar>
            <w:vAlign w:val="bottom"/>
            <w:hideMark/>
          </w:tcPr>
          <w:p w14:paraId="1A21C90C"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0.01</w:t>
            </w:r>
          </w:p>
        </w:tc>
        <w:tc>
          <w:tcPr>
            <w:tcW w:w="0" w:type="auto"/>
            <w:tcBorders>
              <w:top w:val="nil"/>
              <w:left w:val="nil"/>
              <w:bottom w:val="nil"/>
              <w:right w:val="nil"/>
            </w:tcBorders>
            <w:noWrap/>
            <w:tcMar>
              <w:top w:w="0" w:type="dxa"/>
              <w:left w:w="0" w:type="dxa"/>
              <w:bottom w:w="0" w:type="dxa"/>
              <w:right w:w="0" w:type="dxa"/>
            </w:tcMar>
            <w:vAlign w:val="bottom"/>
            <w:hideMark/>
          </w:tcPr>
          <w:p w14:paraId="1D2A842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57.750, p &lt; 0.001 (Bonferroni corrected: p &lt; 0.001)</w:t>
            </w:r>
          </w:p>
        </w:tc>
      </w:tr>
      <w:tr w:rsidR="00836144" w:rsidRPr="00F66772" w14:paraId="0EF908DD" w14:textId="77777777">
        <w:trPr>
          <w:tblCellSpacing w:w="15" w:type="dxa"/>
        </w:trPr>
        <w:tc>
          <w:tcPr>
            <w:tcW w:w="0" w:type="auto"/>
            <w:vMerge/>
            <w:tcBorders>
              <w:top w:val="nil"/>
              <w:left w:val="nil"/>
              <w:bottom w:val="nil"/>
              <w:right w:val="nil"/>
            </w:tcBorders>
            <w:vAlign w:val="center"/>
            <w:hideMark/>
          </w:tcPr>
          <w:p w14:paraId="09791DE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67C31F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6595601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-0.86, 1.22</w:t>
            </w:r>
          </w:p>
        </w:tc>
        <w:tc>
          <w:tcPr>
            <w:tcW w:w="0" w:type="auto"/>
            <w:tcBorders>
              <w:top w:val="nil"/>
              <w:left w:val="nil"/>
              <w:bottom w:val="nil"/>
              <w:right w:val="nil"/>
            </w:tcBorders>
            <w:noWrap/>
            <w:tcMar>
              <w:top w:w="0" w:type="dxa"/>
              <w:left w:w="0" w:type="dxa"/>
              <w:bottom w:w="0" w:type="dxa"/>
              <w:right w:w="0" w:type="dxa"/>
            </w:tcMar>
            <w:vAlign w:val="bottom"/>
            <w:hideMark/>
          </w:tcPr>
          <w:p w14:paraId="2E93D94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-0.86, 0.87</w:t>
            </w:r>
          </w:p>
        </w:tc>
        <w:tc>
          <w:tcPr>
            <w:tcW w:w="0" w:type="auto"/>
            <w:tcBorders>
              <w:top w:val="nil"/>
              <w:left w:val="nil"/>
              <w:bottom w:val="nil"/>
              <w:right w:val="nil"/>
            </w:tcBorders>
            <w:noWrap/>
            <w:tcMar>
              <w:top w:w="0" w:type="dxa"/>
              <w:left w:w="0" w:type="dxa"/>
              <w:bottom w:w="0" w:type="dxa"/>
              <w:right w:w="0" w:type="dxa"/>
            </w:tcMar>
            <w:vAlign w:val="bottom"/>
            <w:hideMark/>
          </w:tcPr>
          <w:p w14:paraId="79034EF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398D18CE" w14:textId="77777777">
        <w:trPr>
          <w:tblCellSpacing w:w="15" w:type="dxa"/>
        </w:trPr>
        <w:tc>
          <w:tcPr>
            <w:tcW w:w="0" w:type="auto"/>
            <w:vMerge/>
            <w:tcBorders>
              <w:top w:val="nil"/>
              <w:left w:val="nil"/>
              <w:bottom w:val="nil"/>
              <w:right w:val="nil"/>
            </w:tcBorders>
            <w:vAlign w:val="center"/>
            <w:hideMark/>
          </w:tcPr>
          <w:p w14:paraId="02D5C38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DB9EEB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410723C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0.56</w:t>
            </w:r>
          </w:p>
        </w:tc>
        <w:tc>
          <w:tcPr>
            <w:tcW w:w="0" w:type="auto"/>
            <w:tcBorders>
              <w:top w:val="nil"/>
              <w:left w:val="nil"/>
              <w:bottom w:val="nil"/>
              <w:right w:val="nil"/>
            </w:tcBorders>
            <w:noWrap/>
            <w:tcMar>
              <w:top w:w="0" w:type="dxa"/>
              <w:left w:w="0" w:type="dxa"/>
              <w:bottom w:w="0" w:type="dxa"/>
              <w:right w:w="0" w:type="dxa"/>
            </w:tcMar>
            <w:vAlign w:val="bottom"/>
            <w:hideMark/>
          </w:tcPr>
          <w:p w14:paraId="49F405C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0.44</w:t>
            </w:r>
          </w:p>
        </w:tc>
        <w:tc>
          <w:tcPr>
            <w:tcW w:w="0" w:type="auto"/>
            <w:tcBorders>
              <w:top w:val="nil"/>
              <w:left w:val="nil"/>
              <w:bottom w:val="nil"/>
              <w:right w:val="nil"/>
            </w:tcBorders>
            <w:noWrap/>
            <w:tcMar>
              <w:top w:w="0" w:type="dxa"/>
              <w:left w:w="0" w:type="dxa"/>
              <w:bottom w:w="0" w:type="dxa"/>
              <w:right w:w="0" w:type="dxa"/>
            </w:tcMar>
            <w:vAlign w:val="bottom"/>
            <w:hideMark/>
          </w:tcPr>
          <w:p w14:paraId="318E422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2859A4FE" w14:textId="77777777">
        <w:trPr>
          <w:tblCellSpacing w:w="15" w:type="dxa"/>
        </w:trPr>
        <w:tc>
          <w:tcPr>
            <w:tcW w:w="0" w:type="auto"/>
            <w:vMerge/>
            <w:tcBorders>
              <w:top w:val="nil"/>
              <w:left w:val="nil"/>
              <w:bottom w:val="nil"/>
              <w:right w:val="nil"/>
            </w:tcBorders>
            <w:vAlign w:val="center"/>
            <w:hideMark/>
          </w:tcPr>
          <w:p w14:paraId="74FD5E9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723ADB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6ECB0E2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82.7%</w:t>
            </w:r>
          </w:p>
        </w:tc>
        <w:tc>
          <w:tcPr>
            <w:tcW w:w="0" w:type="auto"/>
            <w:tcBorders>
              <w:top w:val="nil"/>
              <w:left w:val="nil"/>
              <w:bottom w:val="nil"/>
              <w:right w:val="nil"/>
            </w:tcBorders>
            <w:noWrap/>
            <w:tcMar>
              <w:top w:w="0" w:type="dxa"/>
              <w:left w:w="0" w:type="dxa"/>
              <w:bottom w:w="0" w:type="dxa"/>
              <w:right w:w="0" w:type="dxa"/>
            </w:tcMar>
            <w:vAlign w:val="bottom"/>
            <w:hideMark/>
          </w:tcPr>
          <w:p w14:paraId="7EE9F5FB"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83.5%</w:t>
            </w:r>
          </w:p>
        </w:tc>
        <w:tc>
          <w:tcPr>
            <w:tcW w:w="0" w:type="auto"/>
            <w:tcBorders>
              <w:top w:val="nil"/>
              <w:left w:val="nil"/>
              <w:bottom w:val="nil"/>
              <w:right w:val="nil"/>
            </w:tcBorders>
            <w:noWrap/>
            <w:tcMar>
              <w:top w:w="0" w:type="dxa"/>
              <w:left w:w="0" w:type="dxa"/>
              <w:bottom w:w="0" w:type="dxa"/>
              <w:right w:w="0" w:type="dxa"/>
            </w:tcMar>
            <w:vAlign w:val="bottom"/>
            <w:hideMark/>
          </w:tcPr>
          <w:p w14:paraId="708E90E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p>
        </w:tc>
      </w:tr>
      <w:tr w:rsidR="00836144" w:rsidRPr="00F66772" w14:paraId="2179256E" w14:textId="77777777">
        <w:trPr>
          <w:tblCellSpacing w:w="15" w:type="dxa"/>
        </w:trPr>
        <w:tc>
          <w:tcPr>
            <w:tcW w:w="0" w:type="auto"/>
            <w:vMerge/>
            <w:tcBorders>
              <w:top w:val="nil"/>
              <w:left w:val="nil"/>
              <w:bottom w:val="nil"/>
              <w:right w:val="nil"/>
            </w:tcBorders>
            <w:vAlign w:val="center"/>
            <w:hideMark/>
          </w:tcPr>
          <w:p w14:paraId="121B6B3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0ED90C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74D8BE3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24666</w:t>
            </w:r>
          </w:p>
        </w:tc>
        <w:tc>
          <w:tcPr>
            <w:tcW w:w="0" w:type="auto"/>
            <w:tcBorders>
              <w:top w:val="nil"/>
              <w:left w:val="nil"/>
              <w:bottom w:val="nil"/>
              <w:right w:val="nil"/>
            </w:tcBorders>
            <w:noWrap/>
            <w:tcMar>
              <w:top w:w="0" w:type="dxa"/>
              <w:left w:w="0" w:type="dxa"/>
              <w:bottom w:w="0" w:type="dxa"/>
              <w:right w:w="0" w:type="dxa"/>
            </w:tcMar>
            <w:vAlign w:val="bottom"/>
            <w:hideMark/>
          </w:tcPr>
          <w:p w14:paraId="3A056712"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2 24897</w:t>
            </w:r>
          </w:p>
        </w:tc>
        <w:tc>
          <w:tcPr>
            <w:tcW w:w="0" w:type="auto"/>
            <w:tcBorders>
              <w:top w:val="nil"/>
              <w:left w:val="nil"/>
              <w:bottom w:val="nil"/>
              <w:right w:val="nil"/>
            </w:tcBorders>
            <w:noWrap/>
            <w:tcMar>
              <w:top w:w="0" w:type="dxa"/>
              <w:left w:w="0" w:type="dxa"/>
              <w:bottom w:w="0" w:type="dxa"/>
              <w:right w:w="0" w:type="dxa"/>
            </w:tcMar>
            <w:vAlign w:val="bottom"/>
            <w:hideMark/>
          </w:tcPr>
          <w:p w14:paraId="7C4FEE62" w14:textId="183E71A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w:t>
            </w:r>
            <w:proofErr w:type="gramStart"/>
            <w:r w:rsidRPr="00F66772">
              <w:rPr>
                <w:rFonts w:ascii="Times New Roman" w:eastAsia="Times New Roman" w:hAnsi="Times New Roman" w:cs="Times New Roman"/>
                <w:color w:val="000000"/>
                <w:kern w:val="0"/>
                <w:sz w:val="20"/>
                <w:szCs w:val="20"/>
                <w14:ligatures w14:val="none"/>
              </w:rPr>
              <w:t xml:space="preserve">: </w:t>
            </w:r>
            <w:r w:rsidR="001A7669" w:rsidRPr="00F66772">
              <w:rPr>
                <w:rFonts w:ascii="Times New Roman" w:eastAsia="Times New Roman" w:hAnsi="Times New Roman" w:cs="Times New Roman"/>
                <w:color w:val="000000"/>
                <w:kern w:val="0"/>
                <w:sz w:val="20"/>
                <w:szCs w:val="20"/>
                <w14:ligatures w14:val="none"/>
              </w:rPr>
              <w:t>:</w:t>
            </w:r>
            <w:proofErr w:type="gramEnd"/>
            <w:r w:rsidR="001A7669" w:rsidRPr="00F66772">
              <w:rPr>
                <w:rFonts w:ascii="Times New Roman" w:eastAsia="Times New Roman" w:hAnsi="Times New Roman" w:cs="Times New Roman"/>
                <w:color w:val="000000"/>
                <w:kern w:val="0"/>
                <w:sz w:val="20"/>
                <w:szCs w:val="20"/>
                <w14:ligatures w14:val="none"/>
              </w:rPr>
              <w:t xml:space="preserve"> χ²</w:t>
            </w:r>
            <w:r w:rsidRPr="00F66772">
              <w:rPr>
                <w:rFonts w:ascii="Times New Roman" w:eastAsia="Times New Roman" w:hAnsi="Times New Roman" w:cs="Times New Roman"/>
                <w:color w:val="000000"/>
                <w:kern w:val="0"/>
                <w:sz w:val="20"/>
                <w:szCs w:val="20"/>
                <w14:ligatures w14:val="none"/>
              </w:rPr>
              <w:t xml:space="preserve"> = 10.036, p &lt; 0.01</w:t>
            </w:r>
          </w:p>
        </w:tc>
      </w:tr>
      <w:tr w:rsidR="00836144" w:rsidRPr="00F66772" w14:paraId="54C9DE67" w14:textId="77777777">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3F9DC24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Two-Compartment Bayesian Trough vs </w:t>
            </w:r>
            <w:r w:rsidRPr="00F66772">
              <w:rPr>
                <w:rFonts w:ascii="Times New Roman" w:eastAsia="Times New Roman" w:hAnsi="Times New Roman" w:cs="Times New Roman"/>
                <w:color w:val="000000"/>
                <w:kern w:val="0"/>
                <w:sz w:val="20"/>
                <w:szCs w:val="20"/>
                <w14:ligatures w14:val="none"/>
              </w:rPr>
              <w:br/>
              <w:t>One-Compartment Bayesian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2233FFE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3FED2B6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-5.24</w:t>
            </w:r>
          </w:p>
        </w:tc>
        <w:tc>
          <w:tcPr>
            <w:tcW w:w="0" w:type="auto"/>
            <w:tcBorders>
              <w:top w:val="nil"/>
              <w:left w:val="nil"/>
              <w:bottom w:val="nil"/>
              <w:right w:val="nil"/>
            </w:tcBorders>
            <w:noWrap/>
            <w:tcMar>
              <w:top w:w="0" w:type="dxa"/>
              <w:left w:w="0" w:type="dxa"/>
              <w:bottom w:w="0" w:type="dxa"/>
              <w:right w:w="0" w:type="dxa"/>
            </w:tcMar>
            <w:vAlign w:val="bottom"/>
            <w:hideMark/>
          </w:tcPr>
          <w:p w14:paraId="08A6797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-7.21</w:t>
            </w:r>
          </w:p>
        </w:tc>
        <w:tc>
          <w:tcPr>
            <w:tcW w:w="0" w:type="auto"/>
            <w:tcBorders>
              <w:top w:val="nil"/>
              <w:left w:val="nil"/>
              <w:bottom w:val="nil"/>
              <w:right w:val="nil"/>
            </w:tcBorders>
            <w:noWrap/>
            <w:tcMar>
              <w:top w:w="0" w:type="dxa"/>
              <w:left w:w="0" w:type="dxa"/>
              <w:bottom w:w="0" w:type="dxa"/>
              <w:right w:w="0" w:type="dxa"/>
            </w:tcMar>
            <w:vAlign w:val="bottom"/>
            <w:hideMark/>
          </w:tcPr>
          <w:p w14:paraId="758D9CEB"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5.485, p &lt; 0.001 (Bonferroni corrected: p &lt; 0.001)</w:t>
            </w:r>
          </w:p>
        </w:tc>
      </w:tr>
      <w:tr w:rsidR="00836144" w:rsidRPr="00F66772" w14:paraId="40056CC2" w14:textId="77777777">
        <w:trPr>
          <w:tblCellSpacing w:w="15" w:type="dxa"/>
        </w:trPr>
        <w:tc>
          <w:tcPr>
            <w:tcW w:w="0" w:type="auto"/>
            <w:vMerge/>
            <w:tcBorders>
              <w:top w:val="nil"/>
              <w:left w:val="nil"/>
              <w:bottom w:val="nil"/>
              <w:right w:val="nil"/>
            </w:tcBorders>
            <w:vAlign w:val="center"/>
            <w:hideMark/>
          </w:tcPr>
          <w:p w14:paraId="5F65F92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613F79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270DBB43"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55.67</w:t>
            </w:r>
          </w:p>
        </w:tc>
        <w:tc>
          <w:tcPr>
            <w:tcW w:w="0" w:type="auto"/>
            <w:tcBorders>
              <w:top w:val="nil"/>
              <w:left w:val="nil"/>
              <w:bottom w:val="nil"/>
              <w:right w:val="nil"/>
            </w:tcBorders>
            <w:noWrap/>
            <w:tcMar>
              <w:top w:w="0" w:type="dxa"/>
              <w:left w:w="0" w:type="dxa"/>
              <w:bottom w:w="0" w:type="dxa"/>
              <w:right w:w="0" w:type="dxa"/>
            </w:tcMar>
            <w:vAlign w:val="bottom"/>
            <w:hideMark/>
          </w:tcPr>
          <w:p w14:paraId="54D5D2A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41.29</w:t>
            </w:r>
          </w:p>
        </w:tc>
        <w:tc>
          <w:tcPr>
            <w:tcW w:w="0" w:type="auto"/>
            <w:tcBorders>
              <w:top w:val="nil"/>
              <w:left w:val="nil"/>
              <w:bottom w:val="nil"/>
              <w:right w:val="nil"/>
            </w:tcBorders>
            <w:noWrap/>
            <w:tcMar>
              <w:top w:w="0" w:type="dxa"/>
              <w:left w:w="0" w:type="dxa"/>
              <w:bottom w:w="0" w:type="dxa"/>
              <w:right w:w="0" w:type="dxa"/>
            </w:tcMar>
            <w:vAlign w:val="bottom"/>
            <w:hideMark/>
          </w:tcPr>
          <w:p w14:paraId="29FF3E4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05271BC6" w14:textId="77777777">
        <w:trPr>
          <w:tblCellSpacing w:w="15" w:type="dxa"/>
        </w:trPr>
        <w:tc>
          <w:tcPr>
            <w:tcW w:w="0" w:type="auto"/>
            <w:vMerge/>
            <w:tcBorders>
              <w:top w:val="nil"/>
              <w:left w:val="nil"/>
              <w:bottom w:val="nil"/>
              <w:right w:val="nil"/>
            </w:tcBorders>
            <w:vAlign w:val="center"/>
            <w:hideMark/>
          </w:tcPr>
          <w:p w14:paraId="2B2A1A1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93755A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2ADE6A3F"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-113.86, 103.38</w:t>
            </w:r>
          </w:p>
        </w:tc>
        <w:tc>
          <w:tcPr>
            <w:tcW w:w="0" w:type="auto"/>
            <w:tcBorders>
              <w:top w:val="nil"/>
              <w:left w:val="nil"/>
              <w:bottom w:val="nil"/>
              <w:right w:val="nil"/>
            </w:tcBorders>
            <w:noWrap/>
            <w:tcMar>
              <w:top w:w="0" w:type="dxa"/>
              <w:left w:w="0" w:type="dxa"/>
              <w:bottom w:w="0" w:type="dxa"/>
              <w:right w:w="0" w:type="dxa"/>
            </w:tcMar>
            <w:vAlign w:val="bottom"/>
            <w:hideMark/>
          </w:tcPr>
          <w:p w14:paraId="319EC6A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-86.89, 72.48</w:t>
            </w:r>
          </w:p>
        </w:tc>
        <w:tc>
          <w:tcPr>
            <w:tcW w:w="0" w:type="auto"/>
            <w:tcBorders>
              <w:top w:val="nil"/>
              <w:left w:val="nil"/>
              <w:bottom w:val="nil"/>
              <w:right w:val="nil"/>
            </w:tcBorders>
            <w:noWrap/>
            <w:tcMar>
              <w:top w:w="0" w:type="dxa"/>
              <w:left w:w="0" w:type="dxa"/>
              <w:bottom w:w="0" w:type="dxa"/>
              <w:right w:w="0" w:type="dxa"/>
            </w:tcMar>
            <w:vAlign w:val="bottom"/>
            <w:hideMark/>
          </w:tcPr>
          <w:p w14:paraId="3337F7B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1CEBBFC7" w14:textId="77777777">
        <w:trPr>
          <w:tblCellSpacing w:w="15" w:type="dxa"/>
        </w:trPr>
        <w:tc>
          <w:tcPr>
            <w:tcW w:w="0" w:type="auto"/>
            <w:vMerge/>
            <w:tcBorders>
              <w:top w:val="nil"/>
              <w:left w:val="nil"/>
              <w:bottom w:val="nil"/>
              <w:right w:val="nil"/>
            </w:tcBorders>
            <w:vAlign w:val="center"/>
            <w:hideMark/>
          </w:tcPr>
          <w:p w14:paraId="48612AC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2B423A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63C8E9C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tcBorders>
              <w:top w:val="nil"/>
              <w:left w:val="nil"/>
              <w:bottom w:val="nil"/>
              <w:right w:val="nil"/>
            </w:tcBorders>
            <w:noWrap/>
            <w:tcMar>
              <w:top w:w="0" w:type="dxa"/>
              <w:left w:w="0" w:type="dxa"/>
              <w:bottom w:w="0" w:type="dxa"/>
              <w:right w:w="0" w:type="dxa"/>
            </w:tcMar>
            <w:vAlign w:val="bottom"/>
            <w:hideMark/>
          </w:tcPr>
          <w:p w14:paraId="2DBD59E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0.979</w:t>
            </w:r>
          </w:p>
        </w:tc>
        <w:tc>
          <w:tcPr>
            <w:tcW w:w="0" w:type="auto"/>
            <w:tcBorders>
              <w:top w:val="nil"/>
              <w:left w:val="nil"/>
              <w:bottom w:val="nil"/>
              <w:right w:val="nil"/>
            </w:tcBorders>
            <w:noWrap/>
            <w:tcMar>
              <w:top w:w="0" w:type="dxa"/>
              <w:left w:w="0" w:type="dxa"/>
              <w:bottom w:w="0" w:type="dxa"/>
              <w:right w:w="0" w:type="dxa"/>
            </w:tcMar>
            <w:vAlign w:val="bottom"/>
            <w:hideMark/>
          </w:tcPr>
          <w:p w14:paraId="542EA7E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63D6813A" w14:textId="77777777">
        <w:trPr>
          <w:tblCellSpacing w:w="15" w:type="dxa"/>
        </w:trPr>
        <w:tc>
          <w:tcPr>
            <w:tcW w:w="0" w:type="auto"/>
            <w:vMerge/>
            <w:tcBorders>
              <w:top w:val="nil"/>
              <w:left w:val="nil"/>
              <w:bottom w:val="nil"/>
              <w:right w:val="nil"/>
            </w:tcBorders>
            <w:vAlign w:val="center"/>
            <w:hideMark/>
          </w:tcPr>
          <w:p w14:paraId="1B2908F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04AA7A2"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1B0D9D8A"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tcBorders>
              <w:top w:val="nil"/>
              <w:left w:val="nil"/>
              <w:bottom w:val="nil"/>
              <w:right w:val="nil"/>
            </w:tcBorders>
            <w:noWrap/>
            <w:tcMar>
              <w:top w:w="0" w:type="dxa"/>
              <w:left w:w="0" w:type="dxa"/>
              <w:bottom w:w="0" w:type="dxa"/>
              <w:right w:w="0" w:type="dxa"/>
            </w:tcMar>
            <w:vAlign w:val="bottom"/>
            <w:hideMark/>
          </w:tcPr>
          <w:p w14:paraId="746166A2"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-0.90%</w:t>
            </w:r>
          </w:p>
        </w:tc>
        <w:tc>
          <w:tcPr>
            <w:tcW w:w="0" w:type="auto"/>
            <w:tcBorders>
              <w:top w:val="nil"/>
              <w:left w:val="nil"/>
              <w:bottom w:val="nil"/>
              <w:right w:val="nil"/>
            </w:tcBorders>
            <w:noWrap/>
            <w:tcMar>
              <w:top w:w="0" w:type="dxa"/>
              <w:left w:w="0" w:type="dxa"/>
              <w:bottom w:w="0" w:type="dxa"/>
              <w:right w:w="0" w:type="dxa"/>
            </w:tcMar>
            <w:vAlign w:val="bottom"/>
            <w:hideMark/>
          </w:tcPr>
          <w:p w14:paraId="57AB5B32"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36144" w:rsidRPr="00F66772" w14:paraId="35579D67" w14:textId="77777777">
        <w:trPr>
          <w:tblCellSpacing w:w="15" w:type="dxa"/>
        </w:trPr>
        <w:tc>
          <w:tcPr>
            <w:tcW w:w="0" w:type="auto"/>
            <w:vMerge/>
            <w:tcBorders>
              <w:top w:val="nil"/>
              <w:left w:val="nil"/>
              <w:bottom w:val="nil"/>
              <w:right w:val="nil"/>
            </w:tcBorders>
            <w:vAlign w:val="center"/>
            <w:hideMark/>
          </w:tcPr>
          <w:p w14:paraId="372875C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63AEF6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3DFEAD9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-0.01</w:t>
            </w:r>
          </w:p>
        </w:tc>
        <w:tc>
          <w:tcPr>
            <w:tcW w:w="0" w:type="auto"/>
            <w:tcBorders>
              <w:top w:val="nil"/>
              <w:left w:val="nil"/>
              <w:bottom w:val="nil"/>
              <w:right w:val="nil"/>
            </w:tcBorders>
            <w:noWrap/>
            <w:tcMar>
              <w:top w:w="0" w:type="dxa"/>
              <w:left w:w="0" w:type="dxa"/>
              <w:bottom w:w="0" w:type="dxa"/>
              <w:right w:w="0" w:type="dxa"/>
            </w:tcMar>
            <w:vAlign w:val="bottom"/>
            <w:hideMark/>
          </w:tcPr>
          <w:p w14:paraId="6E5640A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-0.04</w:t>
            </w:r>
          </w:p>
        </w:tc>
        <w:tc>
          <w:tcPr>
            <w:tcW w:w="0" w:type="auto"/>
            <w:tcBorders>
              <w:top w:val="nil"/>
              <w:left w:val="nil"/>
              <w:bottom w:val="nil"/>
              <w:right w:val="nil"/>
            </w:tcBorders>
            <w:noWrap/>
            <w:tcMar>
              <w:top w:w="0" w:type="dxa"/>
              <w:left w:w="0" w:type="dxa"/>
              <w:bottom w:w="0" w:type="dxa"/>
              <w:right w:w="0" w:type="dxa"/>
            </w:tcMar>
            <w:vAlign w:val="bottom"/>
            <w:hideMark/>
          </w:tcPr>
          <w:p w14:paraId="7DFB862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14.203, p &lt; 0.001 (Bonferroni corrected: p &lt; 0.001)</w:t>
            </w:r>
          </w:p>
        </w:tc>
      </w:tr>
      <w:tr w:rsidR="00836144" w:rsidRPr="00F66772" w14:paraId="72A87A08" w14:textId="77777777">
        <w:trPr>
          <w:tblCellSpacing w:w="15" w:type="dxa"/>
        </w:trPr>
        <w:tc>
          <w:tcPr>
            <w:tcW w:w="0" w:type="auto"/>
            <w:vMerge/>
            <w:tcBorders>
              <w:top w:val="nil"/>
              <w:left w:val="nil"/>
              <w:bottom w:val="nil"/>
              <w:right w:val="nil"/>
            </w:tcBorders>
            <w:vAlign w:val="center"/>
            <w:hideMark/>
          </w:tcPr>
          <w:p w14:paraId="7D3E5AA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C28712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168A309A"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-0.87, 0.86</w:t>
            </w:r>
          </w:p>
        </w:tc>
        <w:tc>
          <w:tcPr>
            <w:tcW w:w="0" w:type="auto"/>
            <w:tcBorders>
              <w:top w:val="nil"/>
              <w:left w:val="nil"/>
              <w:bottom w:val="nil"/>
              <w:right w:val="nil"/>
            </w:tcBorders>
            <w:noWrap/>
            <w:tcMar>
              <w:top w:w="0" w:type="dxa"/>
              <w:left w:w="0" w:type="dxa"/>
              <w:bottom w:w="0" w:type="dxa"/>
              <w:right w:w="0" w:type="dxa"/>
            </w:tcMar>
            <w:vAlign w:val="bottom"/>
            <w:hideMark/>
          </w:tcPr>
          <w:p w14:paraId="4E773D5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-0.68, 0.60</w:t>
            </w:r>
          </w:p>
        </w:tc>
        <w:tc>
          <w:tcPr>
            <w:tcW w:w="0" w:type="auto"/>
            <w:tcBorders>
              <w:top w:val="nil"/>
              <w:left w:val="nil"/>
              <w:bottom w:val="nil"/>
              <w:right w:val="nil"/>
            </w:tcBorders>
            <w:noWrap/>
            <w:tcMar>
              <w:top w:w="0" w:type="dxa"/>
              <w:left w:w="0" w:type="dxa"/>
              <w:bottom w:w="0" w:type="dxa"/>
              <w:right w:w="0" w:type="dxa"/>
            </w:tcMar>
            <w:vAlign w:val="bottom"/>
            <w:hideMark/>
          </w:tcPr>
          <w:p w14:paraId="4F7911B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1E2F3479" w14:textId="77777777">
        <w:trPr>
          <w:tblCellSpacing w:w="15" w:type="dxa"/>
        </w:trPr>
        <w:tc>
          <w:tcPr>
            <w:tcW w:w="0" w:type="auto"/>
            <w:vMerge/>
            <w:tcBorders>
              <w:top w:val="nil"/>
              <w:left w:val="nil"/>
              <w:bottom w:val="nil"/>
              <w:right w:val="nil"/>
            </w:tcBorders>
            <w:vAlign w:val="center"/>
            <w:hideMark/>
          </w:tcPr>
          <w:p w14:paraId="445E70B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617781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7D67197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0.44</w:t>
            </w:r>
          </w:p>
        </w:tc>
        <w:tc>
          <w:tcPr>
            <w:tcW w:w="0" w:type="auto"/>
            <w:tcBorders>
              <w:top w:val="nil"/>
              <w:left w:val="nil"/>
              <w:bottom w:val="nil"/>
              <w:right w:val="nil"/>
            </w:tcBorders>
            <w:noWrap/>
            <w:tcMar>
              <w:top w:w="0" w:type="dxa"/>
              <w:left w:w="0" w:type="dxa"/>
              <w:bottom w:w="0" w:type="dxa"/>
              <w:right w:w="0" w:type="dxa"/>
            </w:tcMar>
            <w:vAlign w:val="bottom"/>
            <w:hideMark/>
          </w:tcPr>
          <w:p w14:paraId="7748E80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0.33</w:t>
            </w:r>
          </w:p>
        </w:tc>
        <w:tc>
          <w:tcPr>
            <w:tcW w:w="0" w:type="auto"/>
            <w:tcBorders>
              <w:top w:val="nil"/>
              <w:left w:val="nil"/>
              <w:bottom w:val="nil"/>
              <w:right w:val="nil"/>
            </w:tcBorders>
            <w:noWrap/>
            <w:tcMar>
              <w:top w:w="0" w:type="dxa"/>
              <w:left w:w="0" w:type="dxa"/>
              <w:bottom w:w="0" w:type="dxa"/>
              <w:right w:w="0" w:type="dxa"/>
            </w:tcMar>
            <w:vAlign w:val="bottom"/>
            <w:hideMark/>
          </w:tcPr>
          <w:p w14:paraId="42FA7A3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24D28FC8" w14:textId="77777777">
        <w:trPr>
          <w:tblCellSpacing w:w="15" w:type="dxa"/>
        </w:trPr>
        <w:tc>
          <w:tcPr>
            <w:tcW w:w="0" w:type="auto"/>
            <w:vMerge/>
            <w:tcBorders>
              <w:top w:val="nil"/>
              <w:left w:val="nil"/>
              <w:bottom w:val="nil"/>
              <w:right w:val="nil"/>
            </w:tcBorders>
            <w:vAlign w:val="center"/>
            <w:hideMark/>
          </w:tcPr>
          <w:p w14:paraId="13FCCB0B"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4062A9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5B9D4C5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tcBorders>
              <w:top w:val="nil"/>
              <w:left w:val="nil"/>
              <w:bottom w:val="nil"/>
              <w:right w:val="nil"/>
            </w:tcBorders>
            <w:noWrap/>
            <w:tcMar>
              <w:top w:w="0" w:type="dxa"/>
              <w:left w:w="0" w:type="dxa"/>
              <w:bottom w:w="0" w:type="dxa"/>
              <w:right w:w="0" w:type="dxa"/>
            </w:tcMar>
            <w:vAlign w:val="bottom"/>
            <w:hideMark/>
          </w:tcPr>
          <w:p w14:paraId="3C86326B"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tcBorders>
              <w:top w:val="nil"/>
              <w:left w:val="nil"/>
              <w:bottom w:val="nil"/>
              <w:right w:val="nil"/>
            </w:tcBorders>
            <w:noWrap/>
            <w:tcMar>
              <w:top w:w="0" w:type="dxa"/>
              <w:left w:w="0" w:type="dxa"/>
              <w:bottom w:w="0" w:type="dxa"/>
              <w:right w:w="0" w:type="dxa"/>
            </w:tcMar>
            <w:vAlign w:val="bottom"/>
            <w:hideMark/>
          </w:tcPr>
          <w:p w14:paraId="03490F0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p>
        </w:tc>
      </w:tr>
      <w:tr w:rsidR="00836144" w:rsidRPr="00F66772" w14:paraId="34A2993C" w14:textId="77777777">
        <w:trPr>
          <w:tblCellSpacing w:w="15" w:type="dxa"/>
        </w:trPr>
        <w:tc>
          <w:tcPr>
            <w:tcW w:w="0" w:type="auto"/>
            <w:vMerge/>
            <w:tcBorders>
              <w:top w:val="nil"/>
              <w:left w:val="nil"/>
              <w:bottom w:val="nil"/>
              <w:right w:val="nil"/>
            </w:tcBorders>
            <w:vAlign w:val="center"/>
            <w:hideMark/>
          </w:tcPr>
          <w:p w14:paraId="3CE2B86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0C8787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05C1760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25099</w:t>
            </w:r>
          </w:p>
        </w:tc>
        <w:tc>
          <w:tcPr>
            <w:tcW w:w="0" w:type="auto"/>
            <w:tcBorders>
              <w:top w:val="nil"/>
              <w:left w:val="nil"/>
              <w:bottom w:val="nil"/>
              <w:right w:val="nil"/>
            </w:tcBorders>
            <w:noWrap/>
            <w:tcMar>
              <w:top w:w="0" w:type="dxa"/>
              <w:left w:w="0" w:type="dxa"/>
              <w:bottom w:w="0" w:type="dxa"/>
              <w:right w:w="0" w:type="dxa"/>
            </w:tcMar>
            <w:vAlign w:val="bottom"/>
            <w:hideMark/>
          </w:tcPr>
          <w:p w14:paraId="69D9780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26475</w:t>
            </w:r>
          </w:p>
        </w:tc>
        <w:tc>
          <w:tcPr>
            <w:tcW w:w="0" w:type="auto"/>
            <w:tcBorders>
              <w:top w:val="nil"/>
              <w:left w:val="nil"/>
              <w:bottom w:val="nil"/>
              <w:right w:val="nil"/>
            </w:tcBorders>
            <w:noWrap/>
            <w:tcMar>
              <w:top w:w="0" w:type="dxa"/>
              <w:left w:w="0" w:type="dxa"/>
              <w:bottom w:w="0" w:type="dxa"/>
              <w:right w:w="0" w:type="dxa"/>
            </w:tcMar>
            <w:vAlign w:val="bottom"/>
            <w:hideMark/>
          </w:tcPr>
          <w:p w14:paraId="56DE990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352.597, p &lt; 0.001 (Bonferroni corrected: p &lt; 0.001)</w:t>
            </w:r>
          </w:p>
        </w:tc>
      </w:tr>
      <w:tr w:rsidR="00836144" w:rsidRPr="00F66772" w14:paraId="680301CF" w14:textId="77777777">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5CDD62E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Two-Compartment Bayesian Trough vs </w:t>
            </w:r>
            <w:r w:rsidRPr="00F66772">
              <w:rPr>
                <w:rFonts w:ascii="Times New Roman" w:eastAsia="Times New Roman" w:hAnsi="Times New Roman" w:cs="Times New Roman"/>
                <w:color w:val="000000"/>
                <w:kern w:val="0"/>
                <w:sz w:val="20"/>
                <w:szCs w:val="20"/>
                <w14:ligatures w14:val="none"/>
              </w:rPr>
              <w:br/>
              <w:t>Two-Compartment Bayesian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3427CBB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75BE6A1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-5.24</w:t>
            </w:r>
          </w:p>
        </w:tc>
        <w:tc>
          <w:tcPr>
            <w:tcW w:w="0" w:type="auto"/>
            <w:tcBorders>
              <w:top w:val="nil"/>
              <w:left w:val="nil"/>
              <w:bottom w:val="nil"/>
              <w:right w:val="nil"/>
            </w:tcBorders>
            <w:noWrap/>
            <w:tcMar>
              <w:top w:w="0" w:type="dxa"/>
              <w:left w:w="0" w:type="dxa"/>
              <w:bottom w:w="0" w:type="dxa"/>
              <w:right w:w="0" w:type="dxa"/>
            </w:tcMar>
            <w:vAlign w:val="bottom"/>
            <w:hideMark/>
          </w:tcPr>
          <w:p w14:paraId="24F7F86D"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-5.46</w:t>
            </w:r>
          </w:p>
        </w:tc>
        <w:tc>
          <w:tcPr>
            <w:tcW w:w="0" w:type="auto"/>
            <w:tcBorders>
              <w:top w:val="nil"/>
              <w:left w:val="nil"/>
              <w:bottom w:val="nil"/>
              <w:right w:val="nil"/>
            </w:tcBorders>
            <w:noWrap/>
            <w:tcMar>
              <w:top w:w="0" w:type="dxa"/>
              <w:left w:w="0" w:type="dxa"/>
              <w:bottom w:w="0" w:type="dxa"/>
              <w:right w:w="0" w:type="dxa"/>
            </w:tcMar>
            <w:vAlign w:val="bottom"/>
            <w:hideMark/>
          </w:tcPr>
          <w:p w14:paraId="580236F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0.965, p = 0.334 (Bonferroni corrected: p = 1.000)</w:t>
            </w:r>
          </w:p>
        </w:tc>
      </w:tr>
      <w:tr w:rsidR="00836144" w:rsidRPr="00F66772" w14:paraId="6CB2FE82" w14:textId="77777777">
        <w:trPr>
          <w:tblCellSpacing w:w="15" w:type="dxa"/>
        </w:trPr>
        <w:tc>
          <w:tcPr>
            <w:tcW w:w="0" w:type="auto"/>
            <w:vMerge/>
            <w:tcBorders>
              <w:top w:val="nil"/>
              <w:left w:val="nil"/>
              <w:bottom w:val="nil"/>
              <w:right w:val="nil"/>
            </w:tcBorders>
            <w:vAlign w:val="center"/>
            <w:hideMark/>
          </w:tcPr>
          <w:p w14:paraId="566953D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1C3342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58B59BF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55.67</w:t>
            </w:r>
          </w:p>
        </w:tc>
        <w:tc>
          <w:tcPr>
            <w:tcW w:w="0" w:type="auto"/>
            <w:tcBorders>
              <w:top w:val="nil"/>
              <w:left w:val="nil"/>
              <w:bottom w:val="nil"/>
              <w:right w:val="nil"/>
            </w:tcBorders>
            <w:noWrap/>
            <w:tcMar>
              <w:top w:w="0" w:type="dxa"/>
              <w:left w:w="0" w:type="dxa"/>
              <w:bottom w:w="0" w:type="dxa"/>
              <w:right w:w="0" w:type="dxa"/>
            </w:tcMar>
            <w:vAlign w:val="bottom"/>
            <w:hideMark/>
          </w:tcPr>
          <w:p w14:paraId="4A2CD84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41.06</w:t>
            </w:r>
          </w:p>
        </w:tc>
        <w:tc>
          <w:tcPr>
            <w:tcW w:w="0" w:type="auto"/>
            <w:tcBorders>
              <w:top w:val="nil"/>
              <w:left w:val="nil"/>
              <w:bottom w:val="nil"/>
              <w:right w:val="nil"/>
            </w:tcBorders>
            <w:noWrap/>
            <w:tcMar>
              <w:top w:w="0" w:type="dxa"/>
              <w:left w:w="0" w:type="dxa"/>
              <w:bottom w:w="0" w:type="dxa"/>
              <w:right w:w="0" w:type="dxa"/>
            </w:tcMar>
            <w:vAlign w:val="bottom"/>
            <w:hideMark/>
          </w:tcPr>
          <w:p w14:paraId="3571E03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5533F90E" w14:textId="77777777">
        <w:trPr>
          <w:tblCellSpacing w:w="15" w:type="dxa"/>
        </w:trPr>
        <w:tc>
          <w:tcPr>
            <w:tcW w:w="0" w:type="auto"/>
            <w:vMerge/>
            <w:tcBorders>
              <w:top w:val="nil"/>
              <w:left w:val="nil"/>
              <w:bottom w:val="nil"/>
              <w:right w:val="nil"/>
            </w:tcBorders>
            <w:vAlign w:val="center"/>
            <w:hideMark/>
          </w:tcPr>
          <w:p w14:paraId="29DAB657"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691FDD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69C44A4B"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-113.86, 103.38</w:t>
            </w:r>
          </w:p>
        </w:tc>
        <w:tc>
          <w:tcPr>
            <w:tcW w:w="0" w:type="auto"/>
            <w:tcBorders>
              <w:top w:val="nil"/>
              <w:left w:val="nil"/>
              <w:bottom w:val="nil"/>
              <w:right w:val="nil"/>
            </w:tcBorders>
            <w:noWrap/>
            <w:tcMar>
              <w:top w:w="0" w:type="dxa"/>
              <w:left w:w="0" w:type="dxa"/>
              <w:bottom w:w="0" w:type="dxa"/>
              <w:right w:w="0" w:type="dxa"/>
            </w:tcMar>
            <w:vAlign w:val="bottom"/>
            <w:hideMark/>
          </w:tcPr>
          <w:p w14:paraId="2A62FEA2"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-85.23, 74.30</w:t>
            </w:r>
          </w:p>
        </w:tc>
        <w:tc>
          <w:tcPr>
            <w:tcW w:w="0" w:type="auto"/>
            <w:tcBorders>
              <w:top w:val="nil"/>
              <w:left w:val="nil"/>
              <w:bottom w:val="nil"/>
              <w:right w:val="nil"/>
            </w:tcBorders>
            <w:noWrap/>
            <w:tcMar>
              <w:top w:w="0" w:type="dxa"/>
              <w:left w:w="0" w:type="dxa"/>
              <w:bottom w:w="0" w:type="dxa"/>
              <w:right w:w="0" w:type="dxa"/>
            </w:tcMar>
            <w:vAlign w:val="bottom"/>
            <w:hideMark/>
          </w:tcPr>
          <w:p w14:paraId="32CF491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65F4684C" w14:textId="77777777">
        <w:trPr>
          <w:tblCellSpacing w:w="15" w:type="dxa"/>
        </w:trPr>
        <w:tc>
          <w:tcPr>
            <w:tcW w:w="0" w:type="auto"/>
            <w:vMerge/>
            <w:tcBorders>
              <w:top w:val="nil"/>
              <w:left w:val="nil"/>
              <w:bottom w:val="nil"/>
              <w:right w:val="nil"/>
            </w:tcBorders>
            <w:vAlign w:val="center"/>
            <w:hideMark/>
          </w:tcPr>
          <w:p w14:paraId="45E6780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597C4F7"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1A6C0D73"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0.961</w:t>
            </w:r>
          </w:p>
        </w:tc>
        <w:tc>
          <w:tcPr>
            <w:tcW w:w="0" w:type="auto"/>
            <w:tcBorders>
              <w:top w:val="nil"/>
              <w:left w:val="nil"/>
              <w:bottom w:val="nil"/>
              <w:right w:val="nil"/>
            </w:tcBorders>
            <w:noWrap/>
            <w:tcMar>
              <w:top w:w="0" w:type="dxa"/>
              <w:left w:w="0" w:type="dxa"/>
              <w:bottom w:w="0" w:type="dxa"/>
              <w:right w:w="0" w:type="dxa"/>
            </w:tcMar>
            <w:vAlign w:val="bottom"/>
            <w:hideMark/>
          </w:tcPr>
          <w:p w14:paraId="3E4CC6D3"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0.979</w:t>
            </w:r>
          </w:p>
        </w:tc>
        <w:tc>
          <w:tcPr>
            <w:tcW w:w="0" w:type="auto"/>
            <w:tcBorders>
              <w:top w:val="nil"/>
              <w:left w:val="nil"/>
              <w:bottom w:val="nil"/>
              <w:right w:val="nil"/>
            </w:tcBorders>
            <w:noWrap/>
            <w:tcMar>
              <w:top w:w="0" w:type="dxa"/>
              <w:left w:w="0" w:type="dxa"/>
              <w:bottom w:w="0" w:type="dxa"/>
              <w:right w:w="0" w:type="dxa"/>
            </w:tcMar>
            <w:vAlign w:val="bottom"/>
            <w:hideMark/>
          </w:tcPr>
          <w:p w14:paraId="2274628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7F2AFB04" w14:textId="77777777">
        <w:trPr>
          <w:tblCellSpacing w:w="15" w:type="dxa"/>
        </w:trPr>
        <w:tc>
          <w:tcPr>
            <w:tcW w:w="0" w:type="auto"/>
            <w:vMerge/>
            <w:tcBorders>
              <w:top w:val="nil"/>
              <w:left w:val="nil"/>
              <w:bottom w:val="nil"/>
              <w:right w:val="nil"/>
            </w:tcBorders>
            <w:vAlign w:val="center"/>
            <w:hideMark/>
          </w:tcPr>
          <w:p w14:paraId="6C521F9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593115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160C171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-0.11%</w:t>
            </w:r>
          </w:p>
        </w:tc>
        <w:tc>
          <w:tcPr>
            <w:tcW w:w="0" w:type="auto"/>
            <w:tcBorders>
              <w:top w:val="nil"/>
              <w:left w:val="nil"/>
              <w:bottom w:val="nil"/>
              <w:right w:val="nil"/>
            </w:tcBorders>
            <w:noWrap/>
            <w:tcMar>
              <w:top w:w="0" w:type="dxa"/>
              <w:left w:w="0" w:type="dxa"/>
              <w:bottom w:w="0" w:type="dxa"/>
              <w:right w:w="0" w:type="dxa"/>
            </w:tcMar>
            <w:vAlign w:val="bottom"/>
            <w:hideMark/>
          </w:tcPr>
          <w:p w14:paraId="68DE657B"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-0.52%</w:t>
            </w:r>
          </w:p>
        </w:tc>
        <w:tc>
          <w:tcPr>
            <w:tcW w:w="0" w:type="auto"/>
            <w:tcBorders>
              <w:top w:val="nil"/>
              <w:left w:val="nil"/>
              <w:bottom w:val="nil"/>
              <w:right w:val="nil"/>
            </w:tcBorders>
            <w:noWrap/>
            <w:tcMar>
              <w:top w:w="0" w:type="dxa"/>
              <w:left w:w="0" w:type="dxa"/>
              <w:bottom w:w="0" w:type="dxa"/>
              <w:right w:w="0" w:type="dxa"/>
            </w:tcMar>
            <w:vAlign w:val="bottom"/>
            <w:hideMark/>
          </w:tcPr>
          <w:p w14:paraId="36E80C4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36144" w:rsidRPr="00F66772" w14:paraId="7DE7B58A" w14:textId="77777777">
        <w:trPr>
          <w:tblCellSpacing w:w="15" w:type="dxa"/>
        </w:trPr>
        <w:tc>
          <w:tcPr>
            <w:tcW w:w="0" w:type="auto"/>
            <w:vMerge/>
            <w:tcBorders>
              <w:top w:val="nil"/>
              <w:left w:val="nil"/>
              <w:bottom w:val="nil"/>
              <w:right w:val="nil"/>
            </w:tcBorders>
            <w:vAlign w:val="center"/>
            <w:hideMark/>
          </w:tcPr>
          <w:p w14:paraId="2EECCDC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D9E1DF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45F1213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-0.01</w:t>
            </w:r>
          </w:p>
        </w:tc>
        <w:tc>
          <w:tcPr>
            <w:tcW w:w="0" w:type="auto"/>
            <w:tcBorders>
              <w:top w:val="nil"/>
              <w:left w:val="nil"/>
              <w:bottom w:val="nil"/>
              <w:right w:val="nil"/>
            </w:tcBorders>
            <w:noWrap/>
            <w:tcMar>
              <w:top w:w="0" w:type="dxa"/>
              <w:left w:w="0" w:type="dxa"/>
              <w:bottom w:w="0" w:type="dxa"/>
              <w:right w:w="0" w:type="dxa"/>
            </w:tcMar>
            <w:vAlign w:val="bottom"/>
            <w:hideMark/>
          </w:tcPr>
          <w:p w14:paraId="4E941E8F"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-0.02</w:t>
            </w:r>
          </w:p>
        </w:tc>
        <w:tc>
          <w:tcPr>
            <w:tcW w:w="0" w:type="auto"/>
            <w:tcBorders>
              <w:top w:val="nil"/>
              <w:left w:val="nil"/>
              <w:bottom w:val="nil"/>
              <w:right w:val="nil"/>
            </w:tcBorders>
            <w:noWrap/>
            <w:tcMar>
              <w:top w:w="0" w:type="dxa"/>
              <w:left w:w="0" w:type="dxa"/>
              <w:bottom w:w="0" w:type="dxa"/>
              <w:right w:w="0" w:type="dxa"/>
            </w:tcMar>
            <w:vAlign w:val="bottom"/>
            <w:hideMark/>
          </w:tcPr>
          <w:p w14:paraId="23653D27"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9.753, p &lt; 0.001 (Bonferroni corrected: p &lt; 0.001)</w:t>
            </w:r>
          </w:p>
        </w:tc>
      </w:tr>
      <w:tr w:rsidR="00836144" w:rsidRPr="00F66772" w14:paraId="3EBA40BB" w14:textId="77777777">
        <w:trPr>
          <w:tblCellSpacing w:w="15" w:type="dxa"/>
        </w:trPr>
        <w:tc>
          <w:tcPr>
            <w:tcW w:w="0" w:type="auto"/>
            <w:vMerge/>
            <w:tcBorders>
              <w:top w:val="nil"/>
              <w:left w:val="nil"/>
              <w:bottom w:val="nil"/>
              <w:right w:val="nil"/>
            </w:tcBorders>
            <w:vAlign w:val="center"/>
            <w:hideMark/>
          </w:tcPr>
          <w:p w14:paraId="3D2C6E1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C872A4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186D2D00"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-0.87, 0.86</w:t>
            </w:r>
          </w:p>
        </w:tc>
        <w:tc>
          <w:tcPr>
            <w:tcW w:w="0" w:type="auto"/>
            <w:tcBorders>
              <w:top w:val="nil"/>
              <w:left w:val="nil"/>
              <w:bottom w:val="nil"/>
              <w:right w:val="nil"/>
            </w:tcBorders>
            <w:noWrap/>
            <w:tcMar>
              <w:top w:w="0" w:type="dxa"/>
              <w:left w:w="0" w:type="dxa"/>
              <w:bottom w:w="0" w:type="dxa"/>
              <w:right w:w="0" w:type="dxa"/>
            </w:tcMar>
            <w:vAlign w:val="bottom"/>
            <w:hideMark/>
          </w:tcPr>
          <w:p w14:paraId="2F6418C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-0.66, 0.61</w:t>
            </w:r>
          </w:p>
        </w:tc>
        <w:tc>
          <w:tcPr>
            <w:tcW w:w="0" w:type="auto"/>
            <w:tcBorders>
              <w:top w:val="nil"/>
              <w:left w:val="nil"/>
              <w:bottom w:val="nil"/>
              <w:right w:val="nil"/>
            </w:tcBorders>
            <w:noWrap/>
            <w:tcMar>
              <w:top w:w="0" w:type="dxa"/>
              <w:left w:w="0" w:type="dxa"/>
              <w:bottom w:w="0" w:type="dxa"/>
              <w:right w:w="0" w:type="dxa"/>
            </w:tcMar>
            <w:vAlign w:val="bottom"/>
            <w:hideMark/>
          </w:tcPr>
          <w:p w14:paraId="2E16E0C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5E6AC3FE" w14:textId="77777777">
        <w:trPr>
          <w:tblCellSpacing w:w="15" w:type="dxa"/>
        </w:trPr>
        <w:tc>
          <w:tcPr>
            <w:tcW w:w="0" w:type="auto"/>
            <w:vMerge/>
            <w:tcBorders>
              <w:top w:val="nil"/>
              <w:left w:val="nil"/>
              <w:bottom w:val="nil"/>
              <w:right w:val="nil"/>
            </w:tcBorders>
            <w:vAlign w:val="center"/>
            <w:hideMark/>
          </w:tcPr>
          <w:p w14:paraId="0A522B3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D518CD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0C93F69C"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0.44</w:t>
            </w:r>
          </w:p>
        </w:tc>
        <w:tc>
          <w:tcPr>
            <w:tcW w:w="0" w:type="auto"/>
            <w:tcBorders>
              <w:top w:val="nil"/>
              <w:left w:val="nil"/>
              <w:bottom w:val="nil"/>
              <w:right w:val="nil"/>
            </w:tcBorders>
            <w:noWrap/>
            <w:tcMar>
              <w:top w:w="0" w:type="dxa"/>
              <w:left w:w="0" w:type="dxa"/>
              <w:bottom w:w="0" w:type="dxa"/>
              <w:right w:w="0" w:type="dxa"/>
            </w:tcMar>
            <w:vAlign w:val="bottom"/>
            <w:hideMark/>
          </w:tcPr>
          <w:p w14:paraId="2368797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0.32</w:t>
            </w:r>
          </w:p>
        </w:tc>
        <w:tc>
          <w:tcPr>
            <w:tcW w:w="0" w:type="auto"/>
            <w:tcBorders>
              <w:top w:val="nil"/>
              <w:left w:val="nil"/>
              <w:bottom w:val="nil"/>
              <w:right w:val="nil"/>
            </w:tcBorders>
            <w:noWrap/>
            <w:tcMar>
              <w:top w:w="0" w:type="dxa"/>
              <w:left w:w="0" w:type="dxa"/>
              <w:bottom w:w="0" w:type="dxa"/>
              <w:right w:w="0" w:type="dxa"/>
            </w:tcMar>
            <w:vAlign w:val="bottom"/>
            <w:hideMark/>
          </w:tcPr>
          <w:p w14:paraId="7A09A0C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267D434F" w14:textId="77777777">
        <w:trPr>
          <w:tblCellSpacing w:w="15" w:type="dxa"/>
        </w:trPr>
        <w:tc>
          <w:tcPr>
            <w:tcW w:w="0" w:type="auto"/>
            <w:vMerge/>
            <w:tcBorders>
              <w:top w:val="nil"/>
              <w:left w:val="nil"/>
              <w:bottom w:val="nil"/>
              <w:right w:val="nil"/>
            </w:tcBorders>
            <w:vAlign w:val="center"/>
            <w:hideMark/>
          </w:tcPr>
          <w:p w14:paraId="40EDDA4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FDC1BC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3A2190E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tcBorders>
              <w:top w:val="nil"/>
              <w:left w:val="nil"/>
              <w:bottom w:val="nil"/>
              <w:right w:val="nil"/>
            </w:tcBorders>
            <w:noWrap/>
            <w:tcMar>
              <w:top w:w="0" w:type="dxa"/>
              <w:left w:w="0" w:type="dxa"/>
              <w:bottom w:w="0" w:type="dxa"/>
              <w:right w:w="0" w:type="dxa"/>
            </w:tcMar>
            <w:vAlign w:val="bottom"/>
            <w:hideMark/>
          </w:tcPr>
          <w:p w14:paraId="34C0ED5F"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88.3%</w:t>
            </w:r>
          </w:p>
        </w:tc>
        <w:tc>
          <w:tcPr>
            <w:tcW w:w="0" w:type="auto"/>
            <w:tcBorders>
              <w:top w:val="nil"/>
              <w:left w:val="nil"/>
              <w:bottom w:val="nil"/>
              <w:right w:val="nil"/>
            </w:tcBorders>
            <w:noWrap/>
            <w:tcMar>
              <w:top w:w="0" w:type="dxa"/>
              <w:left w:w="0" w:type="dxa"/>
              <w:bottom w:w="0" w:type="dxa"/>
              <w:right w:w="0" w:type="dxa"/>
            </w:tcMar>
            <w:vAlign w:val="bottom"/>
            <w:hideMark/>
          </w:tcPr>
          <w:p w14:paraId="685F2E3A"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p>
        </w:tc>
      </w:tr>
      <w:tr w:rsidR="00836144" w:rsidRPr="00F66772" w14:paraId="7A70B3F0" w14:textId="77777777">
        <w:trPr>
          <w:tblCellSpacing w:w="15" w:type="dxa"/>
        </w:trPr>
        <w:tc>
          <w:tcPr>
            <w:tcW w:w="0" w:type="auto"/>
            <w:vMerge/>
            <w:tcBorders>
              <w:top w:val="nil"/>
              <w:left w:val="nil"/>
              <w:bottom w:val="nil"/>
              <w:right w:val="nil"/>
            </w:tcBorders>
            <w:vAlign w:val="center"/>
            <w:hideMark/>
          </w:tcPr>
          <w:p w14:paraId="2E8BF82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ABCC55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46EA8EA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25099</w:t>
            </w:r>
          </w:p>
        </w:tc>
        <w:tc>
          <w:tcPr>
            <w:tcW w:w="0" w:type="auto"/>
            <w:tcBorders>
              <w:top w:val="nil"/>
              <w:left w:val="nil"/>
              <w:bottom w:val="nil"/>
              <w:right w:val="nil"/>
            </w:tcBorders>
            <w:noWrap/>
            <w:tcMar>
              <w:top w:w="0" w:type="dxa"/>
              <w:left w:w="0" w:type="dxa"/>
              <w:bottom w:w="0" w:type="dxa"/>
              <w:right w:w="0" w:type="dxa"/>
            </w:tcMar>
            <w:vAlign w:val="bottom"/>
            <w:hideMark/>
          </w:tcPr>
          <w:p w14:paraId="2F6EF7BB"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26508</w:t>
            </w:r>
          </w:p>
        </w:tc>
        <w:tc>
          <w:tcPr>
            <w:tcW w:w="0" w:type="auto"/>
            <w:tcBorders>
              <w:top w:val="nil"/>
              <w:left w:val="nil"/>
              <w:bottom w:val="nil"/>
              <w:right w:val="nil"/>
            </w:tcBorders>
            <w:noWrap/>
            <w:tcMar>
              <w:top w:w="0" w:type="dxa"/>
              <w:left w:w="0" w:type="dxa"/>
              <w:bottom w:w="0" w:type="dxa"/>
              <w:right w:w="0" w:type="dxa"/>
            </w:tcMar>
            <w:vAlign w:val="bottom"/>
            <w:hideMark/>
          </w:tcPr>
          <w:p w14:paraId="4F2285B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543.886, p &lt; 0.001 (Bonferroni corrected: p &lt; 0.001)</w:t>
            </w:r>
          </w:p>
        </w:tc>
      </w:tr>
      <w:tr w:rsidR="00836144" w:rsidRPr="00F66772" w14:paraId="3A552A42" w14:textId="77777777">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50B4050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One-Compartment Bayesian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2532E87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2D0DEDA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-9.56</w:t>
            </w:r>
          </w:p>
        </w:tc>
        <w:tc>
          <w:tcPr>
            <w:tcW w:w="0" w:type="auto"/>
            <w:tcBorders>
              <w:top w:val="nil"/>
              <w:left w:val="nil"/>
              <w:bottom w:val="nil"/>
              <w:right w:val="nil"/>
            </w:tcBorders>
            <w:noWrap/>
            <w:tcMar>
              <w:top w:w="0" w:type="dxa"/>
              <w:left w:w="0" w:type="dxa"/>
              <w:bottom w:w="0" w:type="dxa"/>
              <w:right w:w="0" w:type="dxa"/>
            </w:tcMar>
            <w:vAlign w:val="bottom"/>
            <w:hideMark/>
          </w:tcPr>
          <w:p w14:paraId="0A63359A"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-7.21</w:t>
            </w:r>
          </w:p>
        </w:tc>
        <w:tc>
          <w:tcPr>
            <w:tcW w:w="0" w:type="auto"/>
            <w:tcBorders>
              <w:top w:val="nil"/>
              <w:left w:val="nil"/>
              <w:bottom w:val="nil"/>
              <w:right w:val="nil"/>
            </w:tcBorders>
            <w:noWrap/>
            <w:tcMar>
              <w:top w:w="0" w:type="dxa"/>
              <w:left w:w="0" w:type="dxa"/>
              <w:bottom w:w="0" w:type="dxa"/>
              <w:right w:w="0" w:type="dxa"/>
            </w:tcMar>
            <w:vAlign w:val="bottom"/>
            <w:hideMark/>
          </w:tcPr>
          <w:p w14:paraId="1B0C1A2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-9.450, p &lt; 0.001 (Bonferroni corrected: p &lt; 0.001)</w:t>
            </w:r>
          </w:p>
        </w:tc>
      </w:tr>
      <w:tr w:rsidR="00836144" w:rsidRPr="00F66772" w14:paraId="4B55993E" w14:textId="77777777">
        <w:trPr>
          <w:tblCellSpacing w:w="15" w:type="dxa"/>
        </w:trPr>
        <w:tc>
          <w:tcPr>
            <w:tcW w:w="0" w:type="auto"/>
            <w:vMerge/>
            <w:tcBorders>
              <w:top w:val="nil"/>
              <w:left w:val="nil"/>
              <w:bottom w:val="nil"/>
              <w:right w:val="nil"/>
            </w:tcBorders>
            <w:vAlign w:val="center"/>
            <w:hideMark/>
          </w:tcPr>
          <w:p w14:paraId="7042EDC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2A805C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12F2056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56.83</w:t>
            </w:r>
          </w:p>
        </w:tc>
        <w:tc>
          <w:tcPr>
            <w:tcW w:w="0" w:type="auto"/>
            <w:tcBorders>
              <w:top w:val="nil"/>
              <w:left w:val="nil"/>
              <w:bottom w:val="nil"/>
              <w:right w:val="nil"/>
            </w:tcBorders>
            <w:noWrap/>
            <w:tcMar>
              <w:top w:w="0" w:type="dxa"/>
              <w:left w:w="0" w:type="dxa"/>
              <w:bottom w:w="0" w:type="dxa"/>
              <w:right w:w="0" w:type="dxa"/>
            </w:tcMar>
            <w:vAlign w:val="bottom"/>
            <w:hideMark/>
          </w:tcPr>
          <w:p w14:paraId="69C5E1AF"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41.29</w:t>
            </w:r>
          </w:p>
        </w:tc>
        <w:tc>
          <w:tcPr>
            <w:tcW w:w="0" w:type="auto"/>
            <w:tcBorders>
              <w:top w:val="nil"/>
              <w:left w:val="nil"/>
              <w:bottom w:val="nil"/>
              <w:right w:val="nil"/>
            </w:tcBorders>
            <w:noWrap/>
            <w:tcMar>
              <w:top w:w="0" w:type="dxa"/>
              <w:left w:w="0" w:type="dxa"/>
              <w:bottom w:w="0" w:type="dxa"/>
              <w:right w:w="0" w:type="dxa"/>
            </w:tcMar>
            <w:vAlign w:val="bottom"/>
            <w:hideMark/>
          </w:tcPr>
          <w:p w14:paraId="676FE94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5EC13E92" w14:textId="77777777">
        <w:trPr>
          <w:tblCellSpacing w:w="15" w:type="dxa"/>
        </w:trPr>
        <w:tc>
          <w:tcPr>
            <w:tcW w:w="0" w:type="auto"/>
            <w:vMerge/>
            <w:tcBorders>
              <w:top w:val="nil"/>
              <w:left w:val="nil"/>
              <w:bottom w:val="nil"/>
              <w:right w:val="nil"/>
            </w:tcBorders>
            <w:vAlign w:val="center"/>
            <w:hideMark/>
          </w:tcPr>
          <w:p w14:paraId="2DE4C5C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C8520F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5A4F69B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-119.36, 100.24</w:t>
            </w:r>
          </w:p>
        </w:tc>
        <w:tc>
          <w:tcPr>
            <w:tcW w:w="0" w:type="auto"/>
            <w:tcBorders>
              <w:top w:val="nil"/>
              <w:left w:val="nil"/>
              <w:bottom w:val="nil"/>
              <w:right w:val="nil"/>
            </w:tcBorders>
            <w:noWrap/>
            <w:tcMar>
              <w:top w:w="0" w:type="dxa"/>
              <w:left w:w="0" w:type="dxa"/>
              <w:bottom w:w="0" w:type="dxa"/>
              <w:right w:w="0" w:type="dxa"/>
            </w:tcMar>
            <w:vAlign w:val="bottom"/>
            <w:hideMark/>
          </w:tcPr>
          <w:p w14:paraId="3398841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-86.89, 72.48</w:t>
            </w:r>
          </w:p>
        </w:tc>
        <w:tc>
          <w:tcPr>
            <w:tcW w:w="0" w:type="auto"/>
            <w:tcBorders>
              <w:top w:val="nil"/>
              <w:left w:val="nil"/>
              <w:bottom w:val="nil"/>
              <w:right w:val="nil"/>
            </w:tcBorders>
            <w:noWrap/>
            <w:tcMar>
              <w:top w:w="0" w:type="dxa"/>
              <w:left w:w="0" w:type="dxa"/>
              <w:bottom w:w="0" w:type="dxa"/>
              <w:right w:w="0" w:type="dxa"/>
            </w:tcMar>
            <w:vAlign w:val="bottom"/>
            <w:hideMark/>
          </w:tcPr>
          <w:p w14:paraId="7D0FB5E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66525959" w14:textId="77777777">
        <w:trPr>
          <w:tblCellSpacing w:w="15" w:type="dxa"/>
        </w:trPr>
        <w:tc>
          <w:tcPr>
            <w:tcW w:w="0" w:type="auto"/>
            <w:vMerge/>
            <w:tcBorders>
              <w:top w:val="nil"/>
              <w:left w:val="nil"/>
              <w:bottom w:val="nil"/>
              <w:right w:val="nil"/>
            </w:tcBorders>
            <w:vAlign w:val="center"/>
            <w:hideMark/>
          </w:tcPr>
          <w:p w14:paraId="368A4BF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291364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47DBD25A"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tcBorders>
              <w:top w:val="nil"/>
              <w:left w:val="nil"/>
              <w:bottom w:val="nil"/>
              <w:right w:val="nil"/>
            </w:tcBorders>
            <w:noWrap/>
            <w:tcMar>
              <w:top w:w="0" w:type="dxa"/>
              <w:left w:w="0" w:type="dxa"/>
              <w:bottom w:w="0" w:type="dxa"/>
              <w:right w:w="0" w:type="dxa"/>
            </w:tcMar>
            <w:vAlign w:val="bottom"/>
            <w:hideMark/>
          </w:tcPr>
          <w:p w14:paraId="5721A614"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0.979</w:t>
            </w:r>
          </w:p>
        </w:tc>
        <w:tc>
          <w:tcPr>
            <w:tcW w:w="0" w:type="auto"/>
            <w:tcBorders>
              <w:top w:val="nil"/>
              <w:left w:val="nil"/>
              <w:bottom w:val="nil"/>
              <w:right w:val="nil"/>
            </w:tcBorders>
            <w:noWrap/>
            <w:tcMar>
              <w:top w:w="0" w:type="dxa"/>
              <w:left w:w="0" w:type="dxa"/>
              <w:bottom w:w="0" w:type="dxa"/>
              <w:right w:w="0" w:type="dxa"/>
            </w:tcMar>
            <w:vAlign w:val="bottom"/>
            <w:hideMark/>
          </w:tcPr>
          <w:p w14:paraId="40ED2FD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3FEF2AA2" w14:textId="77777777">
        <w:trPr>
          <w:tblCellSpacing w:w="15" w:type="dxa"/>
        </w:trPr>
        <w:tc>
          <w:tcPr>
            <w:tcW w:w="0" w:type="auto"/>
            <w:vMerge/>
            <w:tcBorders>
              <w:top w:val="nil"/>
              <w:left w:val="nil"/>
              <w:bottom w:val="nil"/>
              <w:right w:val="nil"/>
            </w:tcBorders>
            <w:vAlign w:val="center"/>
            <w:hideMark/>
          </w:tcPr>
          <w:p w14:paraId="003A954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27DBED9"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0D0F86EB"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-0.58%</w:t>
            </w:r>
          </w:p>
        </w:tc>
        <w:tc>
          <w:tcPr>
            <w:tcW w:w="0" w:type="auto"/>
            <w:tcBorders>
              <w:top w:val="nil"/>
              <w:left w:val="nil"/>
              <w:bottom w:val="nil"/>
              <w:right w:val="nil"/>
            </w:tcBorders>
            <w:noWrap/>
            <w:tcMar>
              <w:top w:w="0" w:type="dxa"/>
              <w:left w:w="0" w:type="dxa"/>
              <w:bottom w:w="0" w:type="dxa"/>
              <w:right w:w="0" w:type="dxa"/>
            </w:tcMar>
            <w:vAlign w:val="bottom"/>
            <w:hideMark/>
          </w:tcPr>
          <w:p w14:paraId="27B79F7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-0.90%</w:t>
            </w:r>
          </w:p>
        </w:tc>
        <w:tc>
          <w:tcPr>
            <w:tcW w:w="0" w:type="auto"/>
            <w:tcBorders>
              <w:top w:val="nil"/>
              <w:left w:val="nil"/>
              <w:bottom w:val="nil"/>
              <w:right w:val="nil"/>
            </w:tcBorders>
            <w:noWrap/>
            <w:tcMar>
              <w:top w:w="0" w:type="dxa"/>
              <w:left w:w="0" w:type="dxa"/>
              <w:bottom w:w="0" w:type="dxa"/>
              <w:right w:w="0" w:type="dxa"/>
            </w:tcMar>
            <w:vAlign w:val="bottom"/>
            <w:hideMark/>
          </w:tcPr>
          <w:p w14:paraId="4A6C831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36144" w:rsidRPr="00F66772" w14:paraId="1BD8FB1C" w14:textId="77777777">
        <w:trPr>
          <w:tblCellSpacing w:w="15" w:type="dxa"/>
        </w:trPr>
        <w:tc>
          <w:tcPr>
            <w:tcW w:w="0" w:type="auto"/>
            <w:vMerge/>
            <w:tcBorders>
              <w:top w:val="nil"/>
              <w:left w:val="nil"/>
              <w:bottom w:val="nil"/>
              <w:right w:val="nil"/>
            </w:tcBorders>
            <w:vAlign w:val="center"/>
            <w:hideMark/>
          </w:tcPr>
          <w:p w14:paraId="554351A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2A16F5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5638D1AA"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-0.01</w:t>
            </w:r>
          </w:p>
        </w:tc>
        <w:tc>
          <w:tcPr>
            <w:tcW w:w="0" w:type="auto"/>
            <w:tcBorders>
              <w:top w:val="nil"/>
              <w:left w:val="nil"/>
              <w:bottom w:val="nil"/>
              <w:right w:val="nil"/>
            </w:tcBorders>
            <w:noWrap/>
            <w:tcMar>
              <w:top w:w="0" w:type="dxa"/>
              <w:left w:w="0" w:type="dxa"/>
              <w:bottom w:w="0" w:type="dxa"/>
              <w:right w:w="0" w:type="dxa"/>
            </w:tcMar>
            <w:vAlign w:val="bottom"/>
            <w:hideMark/>
          </w:tcPr>
          <w:p w14:paraId="5CD0530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-0.04</w:t>
            </w:r>
          </w:p>
        </w:tc>
        <w:tc>
          <w:tcPr>
            <w:tcW w:w="0" w:type="auto"/>
            <w:tcBorders>
              <w:top w:val="nil"/>
              <w:left w:val="nil"/>
              <w:bottom w:val="nil"/>
              <w:right w:val="nil"/>
            </w:tcBorders>
            <w:noWrap/>
            <w:tcMar>
              <w:top w:w="0" w:type="dxa"/>
              <w:left w:w="0" w:type="dxa"/>
              <w:bottom w:w="0" w:type="dxa"/>
              <w:right w:w="0" w:type="dxa"/>
            </w:tcMar>
            <w:vAlign w:val="bottom"/>
            <w:hideMark/>
          </w:tcPr>
          <w:p w14:paraId="3F0E1F7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14.000, p &lt; 0.001 (Bonferroni corrected: p &lt; 0.001)</w:t>
            </w:r>
          </w:p>
        </w:tc>
      </w:tr>
      <w:tr w:rsidR="00836144" w:rsidRPr="00F66772" w14:paraId="6C469F1D" w14:textId="77777777">
        <w:trPr>
          <w:tblCellSpacing w:w="15" w:type="dxa"/>
        </w:trPr>
        <w:tc>
          <w:tcPr>
            <w:tcW w:w="0" w:type="auto"/>
            <w:vMerge/>
            <w:tcBorders>
              <w:top w:val="nil"/>
              <w:left w:val="nil"/>
              <w:bottom w:val="nil"/>
              <w:right w:val="nil"/>
            </w:tcBorders>
            <w:vAlign w:val="center"/>
            <w:hideMark/>
          </w:tcPr>
          <w:p w14:paraId="6E261877"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6858F6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0CDA69B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-0.91, 0.88</w:t>
            </w:r>
          </w:p>
        </w:tc>
        <w:tc>
          <w:tcPr>
            <w:tcW w:w="0" w:type="auto"/>
            <w:tcBorders>
              <w:top w:val="nil"/>
              <w:left w:val="nil"/>
              <w:bottom w:val="nil"/>
              <w:right w:val="nil"/>
            </w:tcBorders>
            <w:noWrap/>
            <w:tcMar>
              <w:top w:w="0" w:type="dxa"/>
              <w:left w:w="0" w:type="dxa"/>
              <w:bottom w:w="0" w:type="dxa"/>
              <w:right w:w="0" w:type="dxa"/>
            </w:tcMar>
            <w:vAlign w:val="bottom"/>
            <w:hideMark/>
          </w:tcPr>
          <w:p w14:paraId="32162D0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-0.68, 0.60</w:t>
            </w:r>
          </w:p>
        </w:tc>
        <w:tc>
          <w:tcPr>
            <w:tcW w:w="0" w:type="auto"/>
            <w:tcBorders>
              <w:top w:val="nil"/>
              <w:left w:val="nil"/>
              <w:bottom w:val="nil"/>
              <w:right w:val="nil"/>
            </w:tcBorders>
            <w:noWrap/>
            <w:tcMar>
              <w:top w:w="0" w:type="dxa"/>
              <w:left w:w="0" w:type="dxa"/>
              <w:bottom w:w="0" w:type="dxa"/>
              <w:right w:w="0" w:type="dxa"/>
            </w:tcMar>
            <w:vAlign w:val="bottom"/>
            <w:hideMark/>
          </w:tcPr>
          <w:p w14:paraId="17CB45EF"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0A92A893" w14:textId="77777777">
        <w:trPr>
          <w:tblCellSpacing w:w="15" w:type="dxa"/>
        </w:trPr>
        <w:tc>
          <w:tcPr>
            <w:tcW w:w="0" w:type="auto"/>
            <w:vMerge/>
            <w:tcBorders>
              <w:top w:val="nil"/>
              <w:left w:val="nil"/>
              <w:bottom w:val="nil"/>
              <w:right w:val="nil"/>
            </w:tcBorders>
            <w:vAlign w:val="center"/>
            <w:hideMark/>
          </w:tcPr>
          <w:p w14:paraId="6C530BB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8F4CF15"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72B9389C"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0.46</w:t>
            </w:r>
          </w:p>
        </w:tc>
        <w:tc>
          <w:tcPr>
            <w:tcW w:w="0" w:type="auto"/>
            <w:tcBorders>
              <w:top w:val="nil"/>
              <w:left w:val="nil"/>
              <w:bottom w:val="nil"/>
              <w:right w:val="nil"/>
            </w:tcBorders>
            <w:noWrap/>
            <w:tcMar>
              <w:top w:w="0" w:type="dxa"/>
              <w:left w:w="0" w:type="dxa"/>
              <w:bottom w:w="0" w:type="dxa"/>
              <w:right w:w="0" w:type="dxa"/>
            </w:tcMar>
            <w:vAlign w:val="bottom"/>
            <w:hideMark/>
          </w:tcPr>
          <w:p w14:paraId="46BDACA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0.33</w:t>
            </w:r>
          </w:p>
        </w:tc>
        <w:tc>
          <w:tcPr>
            <w:tcW w:w="0" w:type="auto"/>
            <w:tcBorders>
              <w:top w:val="nil"/>
              <w:left w:val="nil"/>
              <w:bottom w:val="nil"/>
              <w:right w:val="nil"/>
            </w:tcBorders>
            <w:noWrap/>
            <w:tcMar>
              <w:top w:w="0" w:type="dxa"/>
              <w:left w:w="0" w:type="dxa"/>
              <w:bottom w:w="0" w:type="dxa"/>
              <w:right w:w="0" w:type="dxa"/>
            </w:tcMar>
            <w:vAlign w:val="bottom"/>
            <w:hideMark/>
          </w:tcPr>
          <w:p w14:paraId="7595B02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72DF3E23" w14:textId="77777777">
        <w:trPr>
          <w:tblCellSpacing w:w="15" w:type="dxa"/>
        </w:trPr>
        <w:tc>
          <w:tcPr>
            <w:tcW w:w="0" w:type="auto"/>
            <w:vMerge/>
            <w:tcBorders>
              <w:top w:val="nil"/>
              <w:left w:val="nil"/>
              <w:bottom w:val="nil"/>
              <w:right w:val="nil"/>
            </w:tcBorders>
            <w:vAlign w:val="center"/>
            <w:hideMark/>
          </w:tcPr>
          <w:p w14:paraId="3759C71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0A36FC2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7A74D66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tcBorders>
              <w:top w:val="nil"/>
              <w:left w:val="nil"/>
              <w:bottom w:val="nil"/>
              <w:right w:val="nil"/>
            </w:tcBorders>
            <w:noWrap/>
            <w:tcMar>
              <w:top w:w="0" w:type="dxa"/>
              <w:left w:w="0" w:type="dxa"/>
              <w:bottom w:w="0" w:type="dxa"/>
              <w:right w:w="0" w:type="dxa"/>
            </w:tcMar>
            <w:vAlign w:val="bottom"/>
            <w:hideMark/>
          </w:tcPr>
          <w:p w14:paraId="6F525D5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88.2%</w:t>
            </w:r>
          </w:p>
        </w:tc>
        <w:tc>
          <w:tcPr>
            <w:tcW w:w="0" w:type="auto"/>
            <w:tcBorders>
              <w:top w:val="nil"/>
              <w:left w:val="nil"/>
              <w:bottom w:val="nil"/>
              <w:right w:val="nil"/>
            </w:tcBorders>
            <w:noWrap/>
            <w:tcMar>
              <w:top w:w="0" w:type="dxa"/>
              <w:left w:w="0" w:type="dxa"/>
              <w:bottom w:w="0" w:type="dxa"/>
              <w:right w:w="0" w:type="dxa"/>
            </w:tcMar>
            <w:vAlign w:val="bottom"/>
            <w:hideMark/>
          </w:tcPr>
          <w:p w14:paraId="45D40C0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p>
        </w:tc>
      </w:tr>
      <w:tr w:rsidR="00836144" w:rsidRPr="00F66772" w14:paraId="0F4929BC" w14:textId="77777777">
        <w:trPr>
          <w:tblCellSpacing w:w="15" w:type="dxa"/>
        </w:trPr>
        <w:tc>
          <w:tcPr>
            <w:tcW w:w="0" w:type="auto"/>
            <w:vMerge/>
            <w:tcBorders>
              <w:top w:val="nil"/>
              <w:left w:val="nil"/>
              <w:bottom w:val="nil"/>
              <w:right w:val="nil"/>
            </w:tcBorders>
            <w:vAlign w:val="center"/>
            <w:hideMark/>
          </w:tcPr>
          <w:p w14:paraId="795FC8B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6AA4D69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50C980A0" w14:textId="755B7D30"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25090</w:t>
            </w:r>
          </w:p>
        </w:tc>
        <w:tc>
          <w:tcPr>
            <w:tcW w:w="0" w:type="auto"/>
            <w:tcBorders>
              <w:top w:val="nil"/>
              <w:left w:val="nil"/>
              <w:bottom w:val="nil"/>
              <w:right w:val="nil"/>
            </w:tcBorders>
            <w:noWrap/>
            <w:tcMar>
              <w:top w:w="0" w:type="dxa"/>
              <w:left w:w="0" w:type="dxa"/>
              <w:bottom w:w="0" w:type="dxa"/>
              <w:right w:w="0" w:type="dxa"/>
            </w:tcMar>
            <w:vAlign w:val="bottom"/>
            <w:hideMark/>
          </w:tcPr>
          <w:p w14:paraId="5D585A2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26475</w:t>
            </w:r>
          </w:p>
        </w:tc>
        <w:tc>
          <w:tcPr>
            <w:tcW w:w="0" w:type="auto"/>
            <w:tcBorders>
              <w:top w:val="nil"/>
              <w:left w:val="nil"/>
              <w:bottom w:val="nil"/>
              <w:right w:val="nil"/>
            </w:tcBorders>
            <w:noWrap/>
            <w:tcMar>
              <w:top w:w="0" w:type="dxa"/>
              <w:left w:w="0" w:type="dxa"/>
              <w:bottom w:w="0" w:type="dxa"/>
              <w:right w:w="0" w:type="dxa"/>
            </w:tcMar>
            <w:vAlign w:val="bottom"/>
            <w:hideMark/>
          </w:tcPr>
          <w:p w14:paraId="218891A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486.280, p &lt; 0.001 (Bonferroni corrected: p &lt; 0.001)</w:t>
            </w:r>
          </w:p>
        </w:tc>
      </w:tr>
      <w:tr w:rsidR="00836144" w:rsidRPr="00F66772" w14:paraId="296D7BFC" w14:textId="77777777">
        <w:trPr>
          <w:tblCellSpacing w:w="15" w:type="dxa"/>
        </w:trPr>
        <w:tc>
          <w:tcPr>
            <w:tcW w:w="0" w:type="auto"/>
            <w:vMerge w:val="restart"/>
            <w:tcBorders>
              <w:top w:val="nil"/>
              <w:left w:val="nil"/>
              <w:bottom w:val="nil"/>
              <w:right w:val="nil"/>
            </w:tcBorders>
            <w:noWrap/>
            <w:tcMar>
              <w:top w:w="0" w:type="dxa"/>
              <w:left w:w="0" w:type="dxa"/>
              <w:bottom w:w="0" w:type="dxa"/>
              <w:right w:w="0" w:type="dxa"/>
            </w:tcMar>
            <w:vAlign w:val="center"/>
            <w:hideMark/>
          </w:tcPr>
          <w:p w14:paraId="04D2D842"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One-Compartment Bayesian Trough vs </w:t>
            </w:r>
            <w:r w:rsidRPr="00F66772">
              <w:rPr>
                <w:rFonts w:ascii="Times New Roman" w:eastAsia="Times New Roman" w:hAnsi="Times New Roman" w:cs="Times New Roman"/>
                <w:color w:val="000000"/>
                <w:kern w:val="0"/>
                <w:sz w:val="20"/>
                <w:szCs w:val="20"/>
                <w14:ligatures w14:val="none"/>
              </w:rPr>
              <w:br/>
              <w:t>One-Compartment Analytic Peak-Trough</w:t>
            </w:r>
          </w:p>
        </w:tc>
        <w:tc>
          <w:tcPr>
            <w:tcW w:w="0" w:type="auto"/>
            <w:tcBorders>
              <w:top w:val="nil"/>
              <w:left w:val="nil"/>
              <w:bottom w:val="nil"/>
              <w:right w:val="nil"/>
            </w:tcBorders>
            <w:noWrap/>
            <w:tcMar>
              <w:top w:w="0" w:type="dxa"/>
              <w:left w:w="0" w:type="dxa"/>
              <w:bottom w:w="0" w:type="dxa"/>
              <w:right w:w="0" w:type="dxa"/>
            </w:tcMar>
            <w:vAlign w:val="bottom"/>
            <w:hideMark/>
          </w:tcPr>
          <w:p w14:paraId="27BF0FFB"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Diff (mean)</w:t>
            </w:r>
          </w:p>
        </w:tc>
        <w:tc>
          <w:tcPr>
            <w:tcW w:w="0" w:type="auto"/>
            <w:tcBorders>
              <w:top w:val="nil"/>
              <w:left w:val="nil"/>
              <w:bottom w:val="nil"/>
              <w:right w:val="nil"/>
            </w:tcBorders>
            <w:noWrap/>
            <w:tcMar>
              <w:top w:w="0" w:type="dxa"/>
              <w:left w:w="0" w:type="dxa"/>
              <w:bottom w:w="0" w:type="dxa"/>
              <w:right w:w="0" w:type="dxa"/>
            </w:tcMar>
            <w:vAlign w:val="bottom"/>
            <w:hideMark/>
          </w:tcPr>
          <w:p w14:paraId="67D4C5E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-9.56</w:t>
            </w:r>
          </w:p>
        </w:tc>
        <w:tc>
          <w:tcPr>
            <w:tcW w:w="0" w:type="auto"/>
            <w:tcBorders>
              <w:top w:val="nil"/>
              <w:left w:val="nil"/>
              <w:bottom w:val="nil"/>
              <w:right w:val="nil"/>
            </w:tcBorders>
            <w:noWrap/>
            <w:tcMar>
              <w:top w:w="0" w:type="dxa"/>
              <w:left w:w="0" w:type="dxa"/>
              <w:bottom w:w="0" w:type="dxa"/>
              <w:right w:w="0" w:type="dxa"/>
            </w:tcMar>
            <w:vAlign w:val="bottom"/>
            <w:hideMark/>
          </w:tcPr>
          <w:p w14:paraId="68B9382F"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-3.91</w:t>
            </w:r>
          </w:p>
        </w:tc>
        <w:tc>
          <w:tcPr>
            <w:tcW w:w="0" w:type="auto"/>
            <w:tcBorders>
              <w:top w:val="nil"/>
              <w:left w:val="nil"/>
              <w:bottom w:val="nil"/>
              <w:right w:val="nil"/>
            </w:tcBorders>
            <w:noWrap/>
            <w:tcMar>
              <w:top w:w="0" w:type="dxa"/>
              <w:left w:w="0" w:type="dxa"/>
              <w:bottom w:w="0" w:type="dxa"/>
              <w:right w:w="0" w:type="dxa"/>
            </w:tcMar>
            <w:vAlign w:val="bottom"/>
            <w:hideMark/>
          </w:tcPr>
          <w:p w14:paraId="24AD5A4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-16.441, p &lt; 0.001 (Bonferroni corrected: p &lt; 0.001)</w:t>
            </w:r>
          </w:p>
        </w:tc>
      </w:tr>
      <w:tr w:rsidR="00836144" w:rsidRPr="00F66772" w14:paraId="30F8EC33" w14:textId="77777777">
        <w:trPr>
          <w:tblCellSpacing w:w="15" w:type="dxa"/>
        </w:trPr>
        <w:tc>
          <w:tcPr>
            <w:tcW w:w="0" w:type="auto"/>
            <w:vMerge/>
            <w:tcBorders>
              <w:top w:val="nil"/>
              <w:left w:val="nil"/>
              <w:bottom w:val="nil"/>
              <w:right w:val="nil"/>
            </w:tcBorders>
            <w:vAlign w:val="center"/>
            <w:hideMark/>
          </w:tcPr>
          <w:p w14:paraId="683A47B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EDF0BA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RMSE</w:t>
            </w:r>
          </w:p>
        </w:tc>
        <w:tc>
          <w:tcPr>
            <w:tcW w:w="0" w:type="auto"/>
            <w:tcBorders>
              <w:top w:val="nil"/>
              <w:left w:val="nil"/>
              <w:bottom w:val="nil"/>
              <w:right w:val="nil"/>
            </w:tcBorders>
            <w:noWrap/>
            <w:tcMar>
              <w:top w:w="0" w:type="dxa"/>
              <w:left w:w="0" w:type="dxa"/>
              <w:bottom w:w="0" w:type="dxa"/>
              <w:right w:w="0" w:type="dxa"/>
            </w:tcMar>
            <w:vAlign w:val="bottom"/>
            <w:hideMark/>
          </w:tcPr>
          <w:p w14:paraId="6DCEF86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56.83</w:t>
            </w:r>
          </w:p>
        </w:tc>
        <w:tc>
          <w:tcPr>
            <w:tcW w:w="0" w:type="auto"/>
            <w:tcBorders>
              <w:top w:val="nil"/>
              <w:left w:val="nil"/>
              <w:bottom w:val="nil"/>
              <w:right w:val="nil"/>
            </w:tcBorders>
            <w:noWrap/>
            <w:tcMar>
              <w:top w:w="0" w:type="dxa"/>
              <w:left w:w="0" w:type="dxa"/>
              <w:bottom w:w="0" w:type="dxa"/>
              <w:right w:w="0" w:type="dxa"/>
            </w:tcMar>
            <w:vAlign w:val="bottom"/>
            <w:hideMark/>
          </w:tcPr>
          <w:p w14:paraId="381BA4F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45.24</w:t>
            </w:r>
          </w:p>
        </w:tc>
        <w:tc>
          <w:tcPr>
            <w:tcW w:w="0" w:type="auto"/>
            <w:tcBorders>
              <w:top w:val="nil"/>
              <w:left w:val="nil"/>
              <w:bottom w:val="nil"/>
              <w:right w:val="nil"/>
            </w:tcBorders>
            <w:noWrap/>
            <w:tcMar>
              <w:top w:w="0" w:type="dxa"/>
              <w:left w:w="0" w:type="dxa"/>
              <w:bottom w:w="0" w:type="dxa"/>
              <w:right w:w="0" w:type="dxa"/>
            </w:tcMar>
            <w:vAlign w:val="bottom"/>
            <w:hideMark/>
          </w:tcPr>
          <w:p w14:paraId="179457C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66192ED5" w14:textId="77777777">
        <w:trPr>
          <w:tblCellSpacing w:w="15" w:type="dxa"/>
        </w:trPr>
        <w:tc>
          <w:tcPr>
            <w:tcW w:w="0" w:type="auto"/>
            <w:vMerge/>
            <w:tcBorders>
              <w:top w:val="nil"/>
              <w:left w:val="nil"/>
              <w:bottom w:val="nil"/>
              <w:right w:val="nil"/>
            </w:tcBorders>
            <w:vAlign w:val="center"/>
            <w:hideMark/>
          </w:tcPr>
          <w:p w14:paraId="588A381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4997BDB3"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95% CI</w:t>
            </w:r>
          </w:p>
        </w:tc>
        <w:tc>
          <w:tcPr>
            <w:tcW w:w="0" w:type="auto"/>
            <w:tcBorders>
              <w:top w:val="nil"/>
              <w:left w:val="nil"/>
              <w:bottom w:val="nil"/>
              <w:right w:val="nil"/>
            </w:tcBorders>
            <w:noWrap/>
            <w:tcMar>
              <w:top w:w="0" w:type="dxa"/>
              <w:left w:w="0" w:type="dxa"/>
              <w:bottom w:w="0" w:type="dxa"/>
              <w:right w:w="0" w:type="dxa"/>
            </w:tcMar>
            <w:vAlign w:val="bottom"/>
            <w:hideMark/>
          </w:tcPr>
          <w:p w14:paraId="5D555DF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-119.36, 100.24</w:t>
            </w:r>
          </w:p>
        </w:tc>
        <w:tc>
          <w:tcPr>
            <w:tcW w:w="0" w:type="auto"/>
            <w:tcBorders>
              <w:top w:val="nil"/>
              <w:left w:val="nil"/>
              <w:bottom w:val="nil"/>
              <w:right w:val="nil"/>
            </w:tcBorders>
            <w:noWrap/>
            <w:tcMar>
              <w:top w:w="0" w:type="dxa"/>
              <w:left w:w="0" w:type="dxa"/>
              <w:bottom w:w="0" w:type="dxa"/>
              <w:right w:w="0" w:type="dxa"/>
            </w:tcMar>
            <w:vAlign w:val="bottom"/>
            <w:hideMark/>
          </w:tcPr>
          <w:p w14:paraId="2F02695B"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-92.25, 84.43</w:t>
            </w:r>
          </w:p>
        </w:tc>
        <w:tc>
          <w:tcPr>
            <w:tcW w:w="0" w:type="auto"/>
            <w:tcBorders>
              <w:top w:val="nil"/>
              <w:left w:val="nil"/>
              <w:bottom w:val="nil"/>
              <w:right w:val="nil"/>
            </w:tcBorders>
            <w:noWrap/>
            <w:tcMar>
              <w:top w:w="0" w:type="dxa"/>
              <w:left w:w="0" w:type="dxa"/>
              <w:bottom w:w="0" w:type="dxa"/>
              <w:right w:w="0" w:type="dxa"/>
            </w:tcMar>
            <w:vAlign w:val="bottom"/>
            <w:hideMark/>
          </w:tcPr>
          <w:p w14:paraId="0A908A6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1821F5E7" w14:textId="77777777">
        <w:trPr>
          <w:tblCellSpacing w:w="15" w:type="dxa"/>
        </w:trPr>
        <w:tc>
          <w:tcPr>
            <w:tcW w:w="0" w:type="auto"/>
            <w:vMerge/>
            <w:tcBorders>
              <w:top w:val="nil"/>
              <w:left w:val="nil"/>
              <w:bottom w:val="nil"/>
              <w:right w:val="nil"/>
            </w:tcBorders>
            <w:vAlign w:val="center"/>
            <w:hideMark/>
          </w:tcPr>
          <w:p w14:paraId="6F2696C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3673B56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Pearson's r</w:t>
            </w:r>
          </w:p>
        </w:tc>
        <w:tc>
          <w:tcPr>
            <w:tcW w:w="0" w:type="auto"/>
            <w:tcBorders>
              <w:top w:val="nil"/>
              <w:left w:val="nil"/>
              <w:bottom w:val="nil"/>
              <w:right w:val="nil"/>
            </w:tcBorders>
            <w:noWrap/>
            <w:tcMar>
              <w:top w:w="0" w:type="dxa"/>
              <w:left w:w="0" w:type="dxa"/>
              <w:bottom w:w="0" w:type="dxa"/>
              <w:right w:w="0" w:type="dxa"/>
            </w:tcMar>
            <w:vAlign w:val="bottom"/>
            <w:hideMark/>
          </w:tcPr>
          <w:p w14:paraId="1003DBC2"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0.960</w:t>
            </w:r>
          </w:p>
        </w:tc>
        <w:tc>
          <w:tcPr>
            <w:tcW w:w="0" w:type="auto"/>
            <w:tcBorders>
              <w:top w:val="nil"/>
              <w:left w:val="nil"/>
              <w:bottom w:val="nil"/>
              <w:right w:val="nil"/>
            </w:tcBorders>
            <w:noWrap/>
            <w:tcMar>
              <w:top w:w="0" w:type="dxa"/>
              <w:left w:w="0" w:type="dxa"/>
              <w:bottom w:w="0" w:type="dxa"/>
              <w:right w:w="0" w:type="dxa"/>
            </w:tcMar>
            <w:vAlign w:val="bottom"/>
            <w:hideMark/>
          </w:tcPr>
          <w:p w14:paraId="7F126E0D"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0.976</w:t>
            </w:r>
          </w:p>
        </w:tc>
        <w:tc>
          <w:tcPr>
            <w:tcW w:w="0" w:type="auto"/>
            <w:tcBorders>
              <w:top w:val="nil"/>
              <w:left w:val="nil"/>
              <w:bottom w:val="nil"/>
              <w:right w:val="nil"/>
            </w:tcBorders>
            <w:noWrap/>
            <w:tcMar>
              <w:top w:w="0" w:type="dxa"/>
              <w:left w:w="0" w:type="dxa"/>
              <w:bottom w:w="0" w:type="dxa"/>
              <w:right w:w="0" w:type="dxa"/>
            </w:tcMar>
            <w:vAlign w:val="bottom"/>
            <w:hideMark/>
          </w:tcPr>
          <w:p w14:paraId="0114DAF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7CD3B36A" w14:textId="77777777">
        <w:trPr>
          <w:tblCellSpacing w:w="15" w:type="dxa"/>
        </w:trPr>
        <w:tc>
          <w:tcPr>
            <w:tcW w:w="0" w:type="auto"/>
            <w:vMerge/>
            <w:tcBorders>
              <w:top w:val="nil"/>
              <w:left w:val="nil"/>
              <w:bottom w:val="nil"/>
              <w:right w:val="nil"/>
            </w:tcBorders>
            <w:vAlign w:val="center"/>
            <w:hideMark/>
          </w:tcPr>
          <w:p w14:paraId="69E3582A"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1BA1FE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AUC Percentage Error</w:t>
            </w:r>
          </w:p>
        </w:tc>
        <w:tc>
          <w:tcPr>
            <w:tcW w:w="0" w:type="auto"/>
            <w:tcBorders>
              <w:top w:val="nil"/>
              <w:left w:val="nil"/>
              <w:bottom w:val="nil"/>
              <w:right w:val="nil"/>
            </w:tcBorders>
            <w:noWrap/>
            <w:tcMar>
              <w:top w:w="0" w:type="dxa"/>
              <w:left w:w="0" w:type="dxa"/>
              <w:bottom w:w="0" w:type="dxa"/>
              <w:right w:w="0" w:type="dxa"/>
            </w:tcMar>
            <w:vAlign w:val="bottom"/>
            <w:hideMark/>
          </w:tcPr>
          <w:p w14:paraId="6C66E4F0"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-0.58%</w:t>
            </w:r>
          </w:p>
        </w:tc>
        <w:tc>
          <w:tcPr>
            <w:tcW w:w="0" w:type="auto"/>
            <w:tcBorders>
              <w:top w:val="nil"/>
              <w:left w:val="nil"/>
              <w:bottom w:val="nil"/>
              <w:right w:val="nil"/>
            </w:tcBorders>
            <w:noWrap/>
            <w:tcMar>
              <w:top w:w="0" w:type="dxa"/>
              <w:left w:w="0" w:type="dxa"/>
              <w:bottom w:w="0" w:type="dxa"/>
              <w:right w:w="0" w:type="dxa"/>
            </w:tcMar>
            <w:vAlign w:val="bottom"/>
            <w:hideMark/>
          </w:tcPr>
          <w:p w14:paraId="4269CD57"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-0.82%</w:t>
            </w:r>
          </w:p>
        </w:tc>
        <w:tc>
          <w:tcPr>
            <w:tcW w:w="0" w:type="auto"/>
            <w:tcBorders>
              <w:top w:val="nil"/>
              <w:left w:val="nil"/>
              <w:bottom w:val="nil"/>
              <w:right w:val="nil"/>
            </w:tcBorders>
            <w:noWrap/>
            <w:tcMar>
              <w:top w:w="0" w:type="dxa"/>
              <w:left w:w="0" w:type="dxa"/>
              <w:bottom w:w="0" w:type="dxa"/>
              <w:right w:w="0" w:type="dxa"/>
            </w:tcMar>
            <w:vAlign w:val="bottom"/>
            <w:hideMark/>
          </w:tcPr>
          <w:p w14:paraId="6FF749B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w:t>
            </w:r>
          </w:p>
        </w:tc>
      </w:tr>
      <w:tr w:rsidR="00836144" w:rsidRPr="00F66772" w14:paraId="1313E95B" w14:textId="77777777">
        <w:trPr>
          <w:tblCellSpacing w:w="15" w:type="dxa"/>
        </w:trPr>
        <w:tc>
          <w:tcPr>
            <w:tcW w:w="0" w:type="auto"/>
            <w:vMerge/>
            <w:tcBorders>
              <w:top w:val="nil"/>
              <w:left w:val="nil"/>
              <w:bottom w:val="nil"/>
              <w:right w:val="nil"/>
            </w:tcBorders>
            <w:vAlign w:val="center"/>
            <w:hideMark/>
          </w:tcPr>
          <w:p w14:paraId="6096E3B7"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17AAC73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Diff (mean)</w:t>
            </w:r>
          </w:p>
        </w:tc>
        <w:tc>
          <w:tcPr>
            <w:tcW w:w="0" w:type="auto"/>
            <w:tcBorders>
              <w:top w:val="nil"/>
              <w:left w:val="nil"/>
              <w:bottom w:val="nil"/>
              <w:right w:val="nil"/>
            </w:tcBorders>
            <w:noWrap/>
            <w:tcMar>
              <w:top w:w="0" w:type="dxa"/>
              <w:left w:w="0" w:type="dxa"/>
              <w:bottom w:w="0" w:type="dxa"/>
              <w:right w:w="0" w:type="dxa"/>
            </w:tcMar>
            <w:vAlign w:val="bottom"/>
            <w:hideMark/>
          </w:tcPr>
          <w:p w14:paraId="0DA93365"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-0.01</w:t>
            </w:r>
          </w:p>
        </w:tc>
        <w:tc>
          <w:tcPr>
            <w:tcW w:w="0" w:type="auto"/>
            <w:tcBorders>
              <w:top w:val="nil"/>
              <w:left w:val="nil"/>
              <w:bottom w:val="nil"/>
              <w:right w:val="nil"/>
            </w:tcBorders>
            <w:noWrap/>
            <w:tcMar>
              <w:top w:w="0" w:type="dxa"/>
              <w:left w:w="0" w:type="dxa"/>
              <w:bottom w:w="0" w:type="dxa"/>
              <w:right w:w="0" w:type="dxa"/>
            </w:tcMar>
            <w:vAlign w:val="bottom"/>
            <w:hideMark/>
          </w:tcPr>
          <w:p w14:paraId="2F2555D3"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-0.07</w:t>
            </w:r>
          </w:p>
        </w:tc>
        <w:tc>
          <w:tcPr>
            <w:tcW w:w="0" w:type="auto"/>
            <w:tcBorders>
              <w:top w:val="nil"/>
              <w:left w:val="nil"/>
              <w:bottom w:val="nil"/>
              <w:right w:val="nil"/>
            </w:tcBorders>
            <w:noWrap/>
            <w:tcMar>
              <w:top w:w="0" w:type="dxa"/>
              <w:left w:w="0" w:type="dxa"/>
              <w:bottom w:w="0" w:type="dxa"/>
              <w:right w:w="0" w:type="dxa"/>
            </w:tcMar>
            <w:vAlign w:val="bottom"/>
            <w:hideMark/>
          </w:tcPr>
          <w:p w14:paraId="465A58F8"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Paired t-test: t = 18.668, p &lt; 0.001 (Bonferroni corrected: p &lt; 0.001)</w:t>
            </w:r>
          </w:p>
        </w:tc>
      </w:tr>
      <w:tr w:rsidR="00836144" w:rsidRPr="00F66772" w14:paraId="63D5FC7B" w14:textId="77777777">
        <w:trPr>
          <w:tblCellSpacing w:w="15" w:type="dxa"/>
        </w:trPr>
        <w:tc>
          <w:tcPr>
            <w:tcW w:w="0" w:type="auto"/>
            <w:vMerge/>
            <w:tcBorders>
              <w:top w:val="nil"/>
              <w:left w:val="nil"/>
              <w:bottom w:val="nil"/>
              <w:right w:val="nil"/>
            </w:tcBorders>
            <w:vAlign w:val="center"/>
            <w:hideMark/>
          </w:tcPr>
          <w:p w14:paraId="7DEBF191"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F9F39A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95% CI</w:t>
            </w:r>
          </w:p>
        </w:tc>
        <w:tc>
          <w:tcPr>
            <w:tcW w:w="0" w:type="auto"/>
            <w:tcBorders>
              <w:top w:val="nil"/>
              <w:left w:val="nil"/>
              <w:bottom w:val="nil"/>
              <w:right w:val="nil"/>
            </w:tcBorders>
            <w:noWrap/>
            <w:tcMar>
              <w:top w:w="0" w:type="dxa"/>
              <w:left w:w="0" w:type="dxa"/>
              <w:bottom w:w="0" w:type="dxa"/>
              <w:right w:w="0" w:type="dxa"/>
            </w:tcMar>
            <w:vAlign w:val="bottom"/>
            <w:hideMark/>
          </w:tcPr>
          <w:p w14:paraId="7A732D0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-0.91, 0.88</w:t>
            </w:r>
          </w:p>
        </w:tc>
        <w:tc>
          <w:tcPr>
            <w:tcW w:w="0" w:type="auto"/>
            <w:tcBorders>
              <w:top w:val="nil"/>
              <w:left w:val="nil"/>
              <w:bottom w:val="nil"/>
              <w:right w:val="nil"/>
            </w:tcBorders>
            <w:noWrap/>
            <w:tcMar>
              <w:top w:w="0" w:type="dxa"/>
              <w:left w:w="0" w:type="dxa"/>
              <w:bottom w:w="0" w:type="dxa"/>
              <w:right w:w="0" w:type="dxa"/>
            </w:tcMar>
            <w:vAlign w:val="bottom"/>
            <w:hideMark/>
          </w:tcPr>
          <w:p w14:paraId="2F94622E"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-0.83, 0.69</w:t>
            </w:r>
          </w:p>
        </w:tc>
        <w:tc>
          <w:tcPr>
            <w:tcW w:w="0" w:type="auto"/>
            <w:tcBorders>
              <w:top w:val="nil"/>
              <w:left w:val="nil"/>
              <w:bottom w:val="nil"/>
              <w:right w:val="nil"/>
            </w:tcBorders>
            <w:noWrap/>
            <w:tcMar>
              <w:top w:w="0" w:type="dxa"/>
              <w:left w:w="0" w:type="dxa"/>
              <w:bottom w:w="0" w:type="dxa"/>
              <w:right w:w="0" w:type="dxa"/>
            </w:tcMar>
            <w:vAlign w:val="bottom"/>
            <w:hideMark/>
          </w:tcPr>
          <w:p w14:paraId="6A874E5C"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44D08052" w14:textId="77777777">
        <w:trPr>
          <w:tblCellSpacing w:w="15" w:type="dxa"/>
        </w:trPr>
        <w:tc>
          <w:tcPr>
            <w:tcW w:w="0" w:type="auto"/>
            <w:vMerge/>
            <w:tcBorders>
              <w:top w:val="nil"/>
              <w:left w:val="nil"/>
              <w:bottom w:val="nil"/>
              <w:right w:val="nil"/>
            </w:tcBorders>
            <w:vAlign w:val="center"/>
            <w:hideMark/>
          </w:tcPr>
          <w:p w14:paraId="2343EB74"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7FAC82C6"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Cl RMSE</w:t>
            </w:r>
          </w:p>
        </w:tc>
        <w:tc>
          <w:tcPr>
            <w:tcW w:w="0" w:type="auto"/>
            <w:tcBorders>
              <w:top w:val="nil"/>
              <w:left w:val="nil"/>
              <w:bottom w:val="nil"/>
              <w:right w:val="nil"/>
            </w:tcBorders>
            <w:noWrap/>
            <w:tcMar>
              <w:top w:w="0" w:type="dxa"/>
              <w:left w:w="0" w:type="dxa"/>
              <w:bottom w:w="0" w:type="dxa"/>
              <w:right w:w="0" w:type="dxa"/>
            </w:tcMar>
            <w:vAlign w:val="bottom"/>
            <w:hideMark/>
          </w:tcPr>
          <w:p w14:paraId="1821EAA1"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0.46</w:t>
            </w:r>
          </w:p>
        </w:tc>
        <w:tc>
          <w:tcPr>
            <w:tcW w:w="0" w:type="auto"/>
            <w:tcBorders>
              <w:top w:val="nil"/>
              <w:left w:val="nil"/>
              <w:bottom w:val="nil"/>
              <w:right w:val="nil"/>
            </w:tcBorders>
            <w:noWrap/>
            <w:tcMar>
              <w:top w:w="0" w:type="dxa"/>
              <w:left w:w="0" w:type="dxa"/>
              <w:bottom w:w="0" w:type="dxa"/>
              <w:right w:w="0" w:type="dxa"/>
            </w:tcMar>
            <w:vAlign w:val="bottom"/>
            <w:hideMark/>
          </w:tcPr>
          <w:p w14:paraId="6832F056"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0.40</w:t>
            </w:r>
          </w:p>
        </w:tc>
        <w:tc>
          <w:tcPr>
            <w:tcW w:w="0" w:type="auto"/>
            <w:tcBorders>
              <w:top w:val="nil"/>
              <w:left w:val="nil"/>
              <w:bottom w:val="nil"/>
              <w:right w:val="nil"/>
            </w:tcBorders>
            <w:noWrap/>
            <w:tcMar>
              <w:top w:w="0" w:type="dxa"/>
              <w:left w:w="0" w:type="dxa"/>
              <w:bottom w:w="0" w:type="dxa"/>
              <w:right w:w="0" w:type="dxa"/>
            </w:tcMar>
            <w:vAlign w:val="bottom"/>
            <w:hideMark/>
          </w:tcPr>
          <w:p w14:paraId="053B08E2"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w:t>
            </w:r>
          </w:p>
        </w:tc>
      </w:tr>
      <w:tr w:rsidR="00836144" w:rsidRPr="00F66772" w14:paraId="2626B59A" w14:textId="77777777">
        <w:trPr>
          <w:tblCellSpacing w:w="15" w:type="dxa"/>
        </w:trPr>
        <w:tc>
          <w:tcPr>
            <w:tcW w:w="0" w:type="auto"/>
            <w:vMerge/>
            <w:tcBorders>
              <w:top w:val="nil"/>
              <w:left w:val="nil"/>
              <w:bottom w:val="nil"/>
              <w:right w:val="nil"/>
            </w:tcBorders>
            <w:vAlign w:val="center"/>
            <w:hideMark/>
          </w:tcPr>
          <w:p w14:paraId="0DD7A8C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2573803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 xml:space="preserve">CDA </w:t>
            </w:r>
            <w:proofErr w:type="spellStart"/>
            <w:r w:rsidRPr="00F66772">
              <w:rPr>
                <w:rFonts w:ascii="Times New Roman" w:eastAsia="Times New Roman" w:hAnsi="Times New Roman" w:cs="Times New Roman"/>
                <w:color w:val="000000"/>
                <w:kern w:val="0"/>
                <w:sz w:val="20"/>
                <w:szCs w:val="20"/>
                <w14:ligatures w14:val="none"/>
              </w:rPr>
              <w:t>vr</w:t>
            </w:r>
            <w:proofErr w:type="spellEnd"/>
            <w:r w:rsidRPr="00F66772">
              <w:rPr>
                <w:rFonts w:ascii="Times New Roman" w:eastAsia="Times New Roman" w:hAnsi="Times New Roman" w:cs="Times New Roman"/>
                <w:color w:val="000000"/>
                <w:kern w:val="0"/>
                <w:sz w:val="20"/>
                <w:szCs w:val="20"/>
                <w14:ligatures w14:val="none"/>
              </w:rPr>
              <w:t xml:space="preserve"> True AUC</w:t>
            </w:r>
          </w:p>
        </w:tc>
        <w:tc>
          <w:tcPr>
            <w:tcW w:w="0" w:type="auto"/>
            <w:tcBorders>
              <w:top w:val="nil"/>
              <w:left w:val="nil"/>
              <w:bottom w:val="nil"/>
              <w:right w:val="nil"/>
            </w:tcBorders>
            <w:noWrap/>
            <w:tcMar>
              <w:top w:w="0" w:type="dxa"/>
              <w:left w:w="0" w:type="dxa"/>
              <w:bottom w:w="0" w:type="dxa"/>
              <w:right w:w="0" w:type="dxa"/>
            </w:tcMar>
            <w:vAlign w:val="bottom"/>
            <w:hideMark/>
          </w:tcPr>
          <w:p w14:paraId="5B0B6DBD"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83.6%</w:t>
            </w:r>
          </w:p>
        </w:tc>
        <w:tc>
          <w:tcPr>
            <w:tcW w:w="0" w:type="auto"/>
            <w:tcBorders>
              <w:top w:val="nil"/>
              <w:left w:val="nil"/>
              <w:bottom w:val="nil"/>
              <w:right w:val="nil"/>
            </w:tcBorders>
            <w:noWrap/>
            <w:tcMar>
              <w:top w:w="0" w:type="dxa"/>
              <w:left w:w="0" w:type="dxa"/>
              <w:bottom w:w="0" w:type="dxa"/>
              <w:right w:w="0" w:type="dxa"/>
            </w:tcMar>
            <w:vAlign w:val="bottom"/>
            <w:hideMark/>
          </w:tcPr>
          <w:p w14:paraId="607DD3BC"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86.9%</w:t>
            </w:r>
          </w:p>
        </w:tc>
        <w:tc>
          <w:tcPr>
            <w:tcW w:w="0" w:type="auto"/>
            <w:tcBorders>
              <w:top w:val="nil"/>
              <w:left w:val="nil"/>
              <w:bottom w:val="nil"/>
              <w:right w:val="nil"/>
            </w:tcBorders>
            <w:noWrap/>
            <w:tcMar>
              <w:top w:w="0" w:type="dxa"/>
              <w:left w:w="0" w:type="dxa"/>
              <w:bottom w:w="0" w:type="dxa"/>
              <w:right w:w="0" w:type="dxa"/>
            </w:tcMar>
            <w:vAlign w:val="bottom"/>
            <w:hideMark/>
          </w:tcPr>
          <w:p w14:paraId="5630B899"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p>
        </w:tc>
      </w:tr>
      <w:tr w:rsidR="00836144" w:rsidRPr="00F66772" w14:paraId="7A3A8782" w14:textId="77777777">
        <w:trPr>
          <w:tblCellSpacing w:w="15" w:type="dxa"/>
        </w:trPr>
        <w:tc>
          <w:tcPr>
            <w:tcW w:w="0" w:type="auto"/>
            <w:vMerge/>
            <w:tcBorders>
              <w:top w:val="nil"/>
              <w:left w:val="nil"/>
              <w:bottom w:val="nil"/>
              <w:right w:val="nil"/>
            </w:tcBorders>
            <w:vAlign w:val="center"/>
            <w:hideMark/>
          </w:tcPr>
          <w:p w14:paraId="36119DA0"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p>
        </w:tc>
        <w:tc>
          <w:tcPr>
            <w:tcW w:w="0" w:type="auto"/>
            <w:tcBorders>
              <w:top w:val="nil"/>
              <w:left w:val="nil"/>
              <w:bottom w:val="nil"/>
              <w:right w:val="nil"/>
            </w:tcBorders>
            <w:noWrap/>
            <w:tcMar>
              <w:top w:w="0" w:type="dxa"/>
              <w:left w:w="0" w:type="dxa"/>
              <w:bottom w:w="0" w:type="dxa"/>
              <w:right w:w="0" w:type="dxa"/>
            </w:tcMar>
            <w:vAlign w:val="bottom"/>
            <w:hideMark/>
          </w:tcPr>
          <w:p w14:paraId="5CD8E44E"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CDA Correct Classifications</w:t>
            </w:r>
          </w:p>
        </w:tc>
        <w:tc>
          <w:tcPr>
            <w:tcW w:w="0" w:type="auto"/>
            <w:tcBorders>
              <w:top w:val="nil"/>
              <w:left w:val="nil"/>
              <w:bottom w:val="nil"/>
              <w:right w:val="nil"/>
            </w:tcBorders>
            <w:noWrap/>
            <w:tcMar>
              <w:top w:w="0" w:type="dxa"/>
              <w:left w:w="0" w:type="dxa"/>
              <w:bottom w:w="0" w:type="dxa"/>
              <w:right w:w="0" w:type="dxa"/>
            </w:tcMar>
            <w:vAlign w:val="bottom"/>
            <w:hideMark/>
          </w:tcPr>
          <w:p w14:paraId="07BB74BB"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25090</w:t>
            </w:r>
          </w:p>
        </w:tc>
        <w:tc>
          <w:tcPr>
            <w:tcW w:w="0" w:type="auto"/>
            <w:tcBorders>
              <w:top w:val="nil"/>
              <w:left w:val="nil"/>
              <w:bottom w:val="nil"/>
              <w:right w:val="nil"/>
            </w:tcBorders>
            <w:noWrap/>
            <w:tcMar>
              <w:top w:w="0" w:type="dxa"/>
              <w:left w:w="0" w:type="dxa"/>
              <w:bottom w:w="0" w:type="dxa"/>
              <w:right w:w="0" w:type="dxa"/>
            </w:tcMar>
            <w:vAlign w:val="bottom"/>
            <w:hideMark/>
          </w:tcPr>
          <w:p w14:paraId="3D79EF18" w14:textId="77777777" w:rsidR="00836144" w:rsidRPr="00F66772" w:rsidRDefault="00836144" w:rsidP="00836144">
            <w:pPr>
              <w:spacing w:after="0" w:line="240" w:lineRule="auto"/>
              <w:jc w:val="center"/>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26057</w:t>
            </w:r>
          </w:p>
        </w:tc>
        <w:tc>
          <w:tcPr>
            <w:tcW w:w="0" w:type="auto"/>
            <w:tcBorders>
              <w:top w:val="nil"/>
              <w:left w:val="nil"/>
              <w:bottom w:val="nil"/>
              <w:right w:val="nil"/>
            </w:tcBorders>
            <w:noWrap/>
            <w:tcMar>
              <w:top w:w="0" w:type="dxa"/>
              <w:left w:w="0" w:type="dxa"/>
              <w:bottom w:w="0" w:type="dxa"/>
              <w:right w:w="0" w:type="dxa"/>
            </w:tcMar>
            <w:vAlign w:val="bottom"/>
            <w:hideMark/>
          </w:tcPr>
          <w:p w14:paraId="09D6384D" w14:textId="77777777" w:rsidR="00836144" w:rsidRPr="00F66772" w:rsidRDefault="00836144" w:rsidP="00836144">
            <w:pPr>
              <w:spacing w:after="0" w:line="240" w:lineRule="auto"/>
              <w:rPr>
                <w:rFonts w:ascii="Times New Roman" w:eastAsia="Times New Roman" w:hAnsi="Times New Roman" w:cs="Times New Roman"/>
                <w:color w:val="000000"/>
                <w:kern w:val="0"/>
                <w:sz w:val="20"/>
                <w:szCs w:val="20"/>
                <w14:ligatures w14:val="none"/>
              </w:rPr>
            </w:pPr>
            <w:r w:rsidRPr="00F66772">
              <w:rPr>
                <w:rFonts w:ascii="Times New Roman" w:eastAsia="Times New Roman" w:hAnsi="Times New Roman" w:cs="Times New Roman"/>
                <w:color w:val="000000"/>
                <w:kern w:val="0"/>
                <w:sz w:val="20"/>
                <w:szCs w:val="20"/>
                <w14:ligatures w14:val="none"/>
              </w:rPr>
              <w:t>McNemar's Test: χ² = 177.170, p &lt; 0.001 (Bonferroni corrected: p &lt; 0.001)</w:t>
            </w:r>
          </w:p>
        </w:tc>
      </w:tr>
    </w:tbl>
    <w:p w14:paraId="326D8681" w14:textId="77777777" w:rsidR="00836144" w:rsidRPr="00F66772" w:rsidRDefault="00836144" w:rsidP="00836144">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2ECDDB81" w14:textId="77777777"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p>
    <w:p w14:paraId="7D60D018"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00CDDDE6"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7A27E20E"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234F93D8"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5284BD29"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11817215"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27AFD62A"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6906907D"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68E48337"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63893B9E"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6450BEAD"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601D7620" w14:textId="77777777" w:rsidR="00F66772" w:rsidRDefault="00F66772"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3B3C1C91" w14:textId="08AFECD6" w:rsidR="00836144" w:rsidRDefault="00836144" w:rsidP="00836144">
      <w:pPr>
        <w:spacing w:before="100" w:beforeAutospacing="1" w:after="100" w:afterAutospacing="1" w:line="240" w:lineRule="auto"/>
        <w:rPr>
          <w:rFonts w:ascii="Times New Roman" w:eastAsia="Times New Roman" w:hAnsi="Times New Roman" w:cs="Times New Roman"/>
          <w:b/>
          <w:bCs/>
          <w:kern w:val="0"/>
          <w14:ligatures w14:val="none"/>
        </w:rPr>
      </w:pPr>
      <w:r w:rsidRPr="00836144">
        <w:rPr>
          <w:rFonts w:ascii="Times New Roman" w:eastAsia="Times New Roman" w:hAnsi="Times New Roman" w:cs="Times New Roman"/>
          <w:b/>
          <w:bCs/>
          <w:kern w:val="0"/>
          <w14:ligatures w14:val="none"/>
        </w:rPr>
        <w:lastRenderedPageBreak/>
        <w:t>Discussion</w:t>
      </w:r>
    </w:p>
    <w:p w14:paraId="5938E60E" w14:textId="46EEEF58" w:rsidR="00460817" w:rsidRDefault="00460817" w:rsidP="00460817">
      <w:pPr>
        <w:spacing w:after="0" w:line="300" w:lineRule="atLeast"/>
        <w:rPr>
          <w:rFonts w:ascii="Times New Roman" w:eastAsia="Times New Roman" w:hAnsi="Times New Roman" w:cs="Times New Roman"/>
          <w:kern w:val="0"/>
          <w14:ligatures w14:val="none"/>
        </w:rPr>
      </w:pPr>
      <w:r w:rsidRPr="00460817">
        <w:rPr>
          <w:rFonts w:ascii="Times New Roman" w:eastAsia="Times New Roman" w:hAnsi="Times New Roman" w:cs="Times New Roman"/>
          <w:kern w:val="0"/>
          <w14:ligatures w14:val="none"/>
        </w:rPr>
        <w:t xml:space="preserve">Accurate estimation of vancomycin AUC is critical for optimizing therapeutic efficacy and minimizing toxicity, particularly in patients at risk for nephrotoxicity. Our study demonstrates that Bayesian peak-trough methods, whether one- or two-compartment consistently outperform trough-only and analytic approaches, yielding the lowest root mean squared error, narrowest 95% confidence intervals, and highest clinical decision agreement. Notably, two-compartment Bayesian models did not confer additional benefit over one-compartment Bayesian models when only sparse sampling was available, suggesting that increased model complexity may not translate to improved clinical utility in routine practice. These findings reinforce current consensus guidelines advocating for AUC-guided dosing and support the integration of Bayesian peak-trough approaches into standard therapeutic drug monitoring protocols. In contrast, trough-only and fixed </w:t>
      </w:r>
      <w:proofErr w:type="spellStart"/>
      <w:r w:rsidRPr="00460817">
        <w:rPr>
          <w:rFonts w:ascii="Times New Roman" w:eastAsia="Times New Roman" w:hAnsi="Times New Roman" w:cs="Times New Roman"/>
          <w:kern w:val="0"/>
          <w14:ligatures w14:val="none"/>
        </w:rPr>
        <w:t>Vd</w:t>
      </w:r>
      <w:proofErr w:type="spellEnd"/>
      <w:r w:rsidRPr="00460817">
        <w:rPr>
          <w:rFonts w:ascii="Times New Roman" w:eastAsia="Times New Roman" w:hAnsi="Times New Roman" w:cs="Times New Roman"/>
          <w:kern w:val="0"/>
          <w14:ligatures w14:val="none"/>
        </w:rPr>
        <w:t xml:space="preserve"> methods demonstrated inferior performance, underscoring the limitations of these approaches for precise vancomycin dosing.</w:t>
      </w:r>
    </w:p>
    <w:p w14:paraId="7BF2BFBF" w14:textId="77777777" w:rsidR="003B2CDF" w:rsidRDefault="003B2CDF" w:rsidP="00460817">
      <w:pPr>
        <w:spacing w:after="0" w:line="300" w:lineRule="atLeast"/>
        <w:rPr>
          <w:rFonts w:ascii="Times New Roman" w:eastAsia="Times New Roman" w:hAnsi="Times New Roman" w:cs="Times New Roman"/>
          <w:kern w:val="0"/>
          <w14:ligatures w14:val="none"/>
        </w:rPr>
      </w:pPr>
    </w:p>
    <w:p w14:paraId="711502BD" w14:textId="41E70B2C" w:rsidR="003B2CDF" w:rsidRDefault="003B2CDF" w:rsidP="003B2CDF">
      <w:pPr>
        <w:spacing w:after="0" w:line="300" w:lineRule="atLeast"/>
        <w:rPr>
          <w:rFonts w:ascii="Times New Roman" w:eastAsia="Times New Roman" w:hAnsi="Times New Roman" w:cs="Times New Roman"/>
          <w:kern w:val="0"/>
          <w14:ligatures w14:val="none"/>
        </w:rPr>
      </w:pPr>
      <w:r w:rsidRPr="003B2CDF">
        <w:rPr>
          <w:rFonts w:ascii="Times New Roman" w:eastAsia="Times New Roman" w:hAnsi="Times New Roman" w:cs="Times New Roman"/>
          <w:kern w:val="0"/>
          <w14:ligatures w14:val="none"/>
        </w:rPr>
        <w:t xml:space="preserve">This analysis did not demonstrate a significant advantage of two-compartment Bayesian methods over one-compartment Bayesian approaches when sampling was limited to one or two levels, suggesting that the increased complexity of the two-compartment model may be unnecessary for routine clinical monitoring. Clinical decision agreement rates of 86.8%, 88.2%, and 88.3%, AUC RMSE values of 44.7, 40.8, and 40.8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/L, and AUC 95% confidence intervals ranging from -90.7 to 83.9, -85.7 to 71.9, and -84.6 to 73.8 were achieved with peak-trough sampling across models (</w:t>
      </w:r>
      <w:proofErr w:type="spellStart"/>
      <w:r w:rsidRPr="003B2CDF">
        <w:rPr>
          <w:rFonts w:ascii="Times New Roman" w:eastAsia="Times New Roman" w:hAnsi="Times New Roman" w:cs="Times New Roman"/>
          <w:kern w:val="0"/>
          <w14:ligatures w14:val="none"/>
        </w:rPr>
        <w:t>Sawchuck</w:t>
      </w:r>
      <w:proofErr w:type="spellEnd"/>
      <w:r w:rsidRPr="003B2CDF">
        <w:rPr>
          <w:rFonts w:ascii="Times New Roman" w:eastAsia="Times New Roman" w:hAnsi="Times New Roman" w:cs="Times New Roman"/>
          <w:kern w:val="0"/>
          <w14:ligatures w14:val="none"/>
        </w:rPr>
        <w:t xml:space="preserve">-Zaske, Bayesian one-compartment, and Bayesian two-compartment). Although two-compartment models provide a more detailed description of vancomycin pharmacokinetics with intensive sampling, this benefit did not extend to sparse monitoring (one or two steady-state levels) using the </w:t>
      </w:r>
      <w:proofErr w:type="spellStart"/>
      <w:r w:rsidRPr="003B2CDF">
        <w:rPr>
          <w:rFonts w:ascii="Times New Roman" w:eastAsia="Times New Roman" w:hAnsi="Times New Roman" w:cs="Times New Roman"/>
          <w:kern w:val="0"/>
          <w14:ligatures w14:val="none"/>
        </w:rPr>
        <w:t>Goti</w:t>
      </w:r>
      <w:proofErr w:type="spellEnd"/>
      <w:r w:rsidRPr="003B2CDF">
        <w:rPr>
          <w:rFonts w:ascii="Times New Roman" w:eastAsia="Times New Roman" w:hAnsi="Times New Roman" w:cs="Times New Roman"/>
          <w:kern w:val="0"/>
          <w14:ligatures w14:val="none"/>
        </w:rPr>
        <w:t xml:space="preserve"> model. </w:t>
      </w:r>
    </w:p>
    <w:p w14:paraId="57B1E10B" w14:textId="77777777" w:rsidR="003B2CDF" w:rsidRPr="003B2CDF" w:rsidRDefault="003B2CDF" w:rsidP="003B2CDF">
      <w:pPr>
        <w:spacing w:after="0" w:line="300" w:lineRule="atLeast"/>
        <w:rPr>
          <w:rFonts w:ascii="Times New Roman" w:eastAsia="Times New Roman" w:hAnsi="Times New Roman" w:cs="Times New Roman"/>
          <w:kern w:val="0"/>
          <w14:ligatures w14:val="none"/>
        </w:rPr>
      </w:pPr>
    </w:p>
    <w:p w14:paraId="4E170F69" w14:textId="4F40A62B" w:rsidR="003B2CDF" w:rsidRDefault="003B2CDF" w:rsidP="003B2CDF">
      <w:pPr>
        <w:spacing w:after="0" w:line="300" w:lineRule="atLeast"/>
        <w:rPr>
          <w:rFonts w:ascii="Times New Roman" w:eastAsia="Times New Roman" w:hAnsi="Times New Roman" w:cs="Times New Roman"/>
          <w:kern w:val="0"/>
          <w14:ligatures w14:val="none"/>
        </w:rPr>
      </w:pPr>
      <w:r w:rsidRPr="003B2CDF">
        <w:rPr>
          <w:rFonts w:ascii="Times New Roman" w:eastAsia="Times New Roman" w:hAnsi="Times New Roman" w:cs="Times New Roman"/>
          <w:kern w:val="0"/>
          <w14:ligatures w14:val="none"/>
        </w:rPr>
        <w:t xml:space="preserve">For Bayesian trough methods, the actual AUC frequently fell outside the target range of 400–600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 xml:space="preserve">/L when the goal AUC was 500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 xml:space="preserve">/L, as reflected by the wide 95% confidence intervals for AUC predictions (-119.36 to 103.38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/L). In contrast, monitoring with both peak and trough concentrations narrowed the 95% AUC confidence intervals</w:t>
      </w:r>
      <w:r>
        <w:rPr>
          <w:rFonts w:ascii="Times New Roman" w:eastAsia="Times New Roman" w:hAnsi="Times New Roman" w:cs="Times New Roman"/>
          <w:kern w:val="0"/>
          <w14:ligatures w14:val="none"/>
        </w:rPr>
        <w:t xml:space="preserve">, </w:t>
      </w:r>
      <w:r w:rsidRPr="003B2CDF">
        <w:rPr>
          <w:rFonts w:ascii="Times New Roman" w:eastAsia="Times New Roman" w:hAnsi="Times New Roman" w:cs="Times New Roman"/>
          <w:kern w:val="0"/>
          <w14:ligatures w14:val="none"/>
        </w:rPr>
        <w:t>one-compartment analytic (-92.25, 94.43), one-compartment Bayesian (-86.89, 72.48), and two-compartment Bayesian (-85.23, 74.30)</w:t>
      </w:r>
      <w:r>
        <w:rPr>
          <w:rFonts w:ascii="Times New Roman" w:eastAsia="Times New Roman" w:hAnsi="Times New Roman" w:cs="Times New Roman"/>
          <w:kern w:val="0"/>
          <w14:ligatures w14:val="none"/>
        </w:rPr>
        <w:t xml:space="preserve">, </w:t>
      </w:r>
      <w:r w:rsidRPr="003B2CDF">
        <w:rPr>
          <w:rFonts w:ascii="Times New Roman" w:eastAsia="Times New Roman" w:hAnsi="Times New Roman" w:cs="Times New Roman"/>
          <w:kern w:val="0"/>
          <w14:ligatures w14:val="none"/>
        </w:rPr>
        <w:t xml:space="preserve">and these intervals were contained within the 400–600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 xml:space="preserve">/L range when targeting an AUC of 500 </w:t>
      </w:r>
      <w:proofErr w:type="spellStart"/>
      <w:r w:rsidRPr="003B2CDF">
        <w:rPr>
          <w:rFonts w:ascii="Times New Roman" w:eastAsia="Times New Roman" w:hAnsi="Times New Roman" w:cs="Times New Roman"/>
          <w:kern w:val="0"/>
          <w14:ligatures w14:val="none"/>
        </w:rPr>
        <w:t>mg·h</w:t>
      </w:r>
      <w:proofErr w:type="spellEnd"/>
      <w:r w:rsidRPr="003B2CDF">
        <w:rPr>
          <w:rFonts w:ascii="Times New Roman" w:eastAsia="Times New Roman" w:hAnsi="Times New Roman" w:cs="Times New Roman"/>
          <w:kern w:val="0"/>
          <w14:ligatures w14:val="none"/>
        </w:rPr>
        <w:t>/L.</w:t>
      </w:r>
    </w:p>
    <w:p w14:paraId="762D0436" w14:textId="77777777" w:rsidR="00560DA9" w:rsidRPr="00560DA9" w:rsidRDefault="00560DA9">
      <w:pPr>
        <w:pStyle w:val="NormalWeb"/>
        <w:rPr>
          <w:color w:val="000000"/>
        </w:rPr>
      </w:pPr>
      <w:r w:rsidRPr="00560DA9">
        <w:rPr>
          <w:color w:val="000000"/>
        </w:rPr>
        <w:t xml:space="preserve">In a real-world study, Olney et al. compared area under the curve (AUC) calculations derived from first-order analytic equations using steady-state peak and trough concentrations to those obtained from Bayesian two-compartment models with </w:t>
      </w:r>
      <w:proofErr w:type="spellStart"/>
      <w:r w:rsidRPr="00560DA9">
        <w:rPr>
          <w:color w:val="000000"/>
        </w:rPr>
        <w:t>InsightRxTm</w:t>
      </w:r>
      <w:proofErr w:type="spellEnd"/>
      <w:r w:rsidRPr="00560DA9">
        <w:rPr>
          <w:color w:val="000000"/>
        </w:rPr>
        <w:t xml:space="preserve"> software in 978 patients. Their analysis included both trough-only and peak-trough sampling strategies. Where available, corresponding data from our study are provided in brackets for comparison.</w:t>
      </w:r>
    </w:p>
    <w:p w14:paraId="3807835A" w14:textId="77777777" w:rsidR="00560DA9" w:rsidRPr="00560DA9" w:rsidRDefault="00560DA9">
      <w:pPr>
        <w:pStyle w:val="NormalWeb"/>
        <w:rPr>
          <w:color w:val="000000"/>
        </w:rPr>
      </w:pPr>
      <w:r w:rsidRPr="00560DA9">
        <w:rPr>
          <w:color w:val="000000"/>
        </w:rPr>
        <w:t xml:space="preserve">For linear versus two-compartment Bayesian methods using two concentrations, Olney et al. reported a Pearson’s correlation coefficient (r) of 0.963 [0.976, 0.979], categorical clinical agreement (AUC 400–600 </w:t>
      </w:r>
      <w:proofErr w:type="spellStart"/>
      <w:r w:rsidRPr="00560DA9">
        <w:rPr>
          <w:color w:val="000000"/>
        </w:rPr>
        <w:t>mg·h</w:t>
      </w:r>
      <w:proofErr w:type="spellEnd"/>
      <w:r w:rsidRPr="00560DA9">
        <w:rPr>
          <w:color w:val="000000"/>
        </w:rPr>
        <w:t xml:space="preserve">/L) of 87.4% [86.6%, 88.3%], Bland-Altman bias of –11.5 </w:t>
      </w:r>
      <w:proofErr w:type="spellStart"/>
      <w:r w:rsidRPr="00560DA9">
        <w:rPr>
          <w:color w:val="000000"/>
        </w:rPr>
        <w:t>mg·h</w:t>
      </w:r>
      <w:proofErr w:type="spellEnd"/>
      <w:r w:rsidRPr="00560DA9">
        <w:rPr>
          <w:color w:val="000000"/>
        </w:rPr>
        <w:t xml:space="preserve">/L [–3.46, –6.86], and 95% AUC confidence intervals of –99 to 76 [–90.86 to 83.93, –85.65 to 71.94]. For linear versus two-compartment Bayesian methods using a single concentration, r was 0.823, clinical agreement was 76.8%, bias was –21.9 </w:t>
      </w:r>
      <w:proofErr w:type="spellStart"/>
      <w:r w:rsidRPr="00560DA9">
        <w:rPr>
          <w:color w:val="000000"/>
        </w:rPr>
        <w:t>mg·h</w:t>
      </w:r>
      <w:proofErr w:type="spellEnd"/>
      <w:r w:rsidRPr="00560DA9">
        <w:rPr>
          <w:color w:val="000000"/>
        </w:rPr>
        <w:t xml:space="preserve">/L, and 95% AUC confidence intervals ranged from –197 to 153. Comparing two-compartment Bayesian methods using two versus one concentration, r was 0.931 [0.979, 0.961], clinical agreement was 88.5% [88.3%, 83.6%], bias was 10.4 </w:t>
      </w:r>
      <w:proofErr w:type="spellStart"/>
      <w:r w:rsidRPr="00560DA9">
        <w:rPr>
          <w:color w:val="000000"/>
        </w:rPr>
        <w:t>mg·h</w:t>
      </w:r>
      <w:proofErr w:type="spellEnd"/>
      <w:r w:rsidRPr="00560DA9">
        <w:rPr>
          <w:color w:val="000000"/>
        </w:rPr>
        <w:t>/L [–5.46, –5.24], and 95% AUC confidence intervals were –92 to 113 [–85.2 to 74.3, –113.9 to 103.4].</w:t>
      </w:r>
    </w:p>
    <w:p w14:paraId="410C9FF9" w14:textId="1346F7BA" w:rsidR="00560DA9" w:rsidRPr="003B2CDF" w:rsidRDefault="00560DA9" w:rsidP="003B2CDF">
      <w:pPr>
        <w:spacing w:after="0" w:line="300" w:lineRule="atLeast"/>
        <w:rPr>
          <w:rFonts w:ascii="Times New Roman" w:eastAsia="Times New Roman" w:hAnsi="Times New Roman" w:cs="Times New Roman"/>
          <w:kern w:val="0"/>
          <w14:ligatures w14:val="none"/>
        </w:rPr>
      </w:pPr>
      <w:r w:rsidRPr="00560DA9">
        <w:rPr>
          <w:rFonts w:ascii="Times New Roman" w:hAnsi="Times New Roman" w:cs="Times New Roman"/>
          <w:color w:val="000000"/>
        </w:rPr>
        <w:t xml:space="preserve">It is important to note that our results are not directly comparable to those of Olney et al., as their study estimated AUC using each method and compared models to one another, rather than </w:t>
      </w:r>
      <w:proofErr w:type="gramStart"/>
      <w:r w:rsidRPr="00560DA9">
        <w:rPr>
          <w:rFonts w:ascii="Times New Roman" w:hAnsi="Times New Roman" w:cs="Times New Roman"/>
          <w:color w:val="000000"/>
        </w:rPr>
        <w:t>comparing</w:t>
      </w:r>
      <w:proofErr w:type="gramEnd"/>
      <w:r w:rsidRPr="00560DA9">
        <w:rPr>
          <w:rFonts w:ascii="Times New Roman" w:hAnsi="Times New Roman" w:cs="Times New Roman"/>
          <w:color w:val="000000"/>
        </w:rPr>
        <w:t xml:space="preserve"> to a known true </w:t>
      </w:r>
      <w:r w:rsidRPr="00560DA9">
        <w:rPr>
          <w:rFonts w:ascii="Times New Roman" w:hAnsi="Times New Roman" w:cs="Times New Roman"/>
          <w:color w:val="000000"/>
        </w:rPr>
        <w:lastRenderedPageBreak/>
        <w:t>AUC. In contrast, our analysis compared estimated AUCs from each model to the true AUC, but the resulting values fall within similar ranges to those reported by Olney et al.</w:t>
      </w:r>
    </w:p>
    <w:p w14:paraId="29973670" w14:textId="2C978012"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Several studies, noted below, have used a reference two-compartment model with simulated or clinical data to create peak-trough and trough data sets. The sparse data sets were used to create one and two-compartment models, fit</w:t>
      </w:r>
      <w:r w:rsidR="0082463E">
        <w:rPr>
          <w:rFonts w:ascii="Times New Roman" w:eastAsia="Times New Roman" w:hAnsi="Times New Roman" w:cs="Times New Roman"/>
          <w:kern w:val="0"/>
          <w14:ligatures w14:val="none"/>
        </w:rPr>
        <w:t>tings</w:t>
      </w:r>
      <w:r w:rsidRPr="00836144">
        <w:rPr>
          <w:rFonts w:ascii="Times New Roman" w:eastAsia="Times New Roman" w:hAnsi="Times New Roman" w:cs="Times New Roman"/>
          <w:kern w:val="0"/>
          <w14:ligatures w14:val="none"/>
        </w:rPr>
        <w:t xml:space="preserve"> </w:t>
      </w:r>
      <w:r w:rsidR="0082463E">
        <w:rPr>
          <w:rFonts w:ascii="Times New Roman" w:eastAsia="Times New Roman" w:hAnsi="Times New Roman" w:cs="Times New Roman"/>
          <w:kern w:val="0"/>
          <w14:ligatures w14:val="none"/>
        </w:rPr>
        <w:t xml:space="preserve">of </w:t>
      </w:r>
      <w:r w:rsidRPr="00836144">
        <w:rPr>
          <w:rFonts w:ascii="Times New Roman" w:eastAsia="Times New Roman" w:hAnsi="Times New Roman" w:cs="Times New Roman"/>
          <w:kern w:val="0"/>
          <w14:ligatures w14:val="none"/>
        </w:rPr>
        <w:t>the peak-trough and trough data sets</w:t>
      </w:r>
      <w:r w:rsidR="0082463E">
        <w:rPr>
          <w:rFonts w:ascii="Times New Roman" w:eastAsia="Times New Roman" w:hAnsi="Times New Roman" w:cs="Times New Roman"/>
          <w:kern w:val="0"/>
          <w14:ligatures w14:val="none"/>
        </w:rPr>
        <w:t xml:space="preserve"> were performed</w:t>
      </w:r>
      <w:r w:rsidRPr="00836144">
        <w:rPr>
          <w:rFonts w:ascii="Times New Roman" w:eastAsia="Times New Roman" w:hAnsi="Times New Roman" w:cs="Times New Roman"/>
          <w:kern w:val="0"/>
          <w14:ligatures w14:val="none"/>
        </w:rPr>
        <w:t xml:space="preserve">, and the calculated AUCs were compared to the reference model's AUCs.   </w:t>
      </w:r>
    </w:p>
    <w:p w14:paraId="18ECA713" w14:textId="77777777" w:rsidR="00A76444" w:rsidRPr="00A76444" w:rsidRDefault="00A76444" w:rsidP="00A76444">
      <w:p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 xml:space="preserve">Maung et al. evaluated AUC estimates for one- and two-compartment models constructed from sparse data generated by the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model, comparing these estimates to the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reference data. In their simulation, 100 patients received a dose of 1000 mg every 12 hours with a 2-hour infusion period, generating both trough and peak-trough data sets. These data sets were used to build four models: a one-compartment model using only troughs, a one-compartment model using peak-trough data, a two-compartment model using only troughs, and a two-compartment model using both peak and trough concentrations. For models based solely on trough data, only clearance was estimated while other parameters were fixed. Each model was then used to generate serum concentration profiles for the simulated patients, and the resulting AUCs were compared to the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reference set.</w:t>
      </w:r>
    </w:p>
    <w:p w14:paraId="49D24B02" w14:textId="77777777" w:rsidR="00A76444" w:rsidRPr="00A76444" w:rsidRDefault="00A76444" w:rsidP="00A76444">
      <w:p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Their 48-hour comparisons, with corresponding data from our study provided in brackets where available, were as follows:</w:t>
      </w:r>
    </w:p>
    <w:p w14:paraId="23947407" w14:textId="77777777" w:rsidR="00A76444" w:rsidRPr="00A76444" w:rsidRDefault="00A76444" w:rsidP="00A76444">
      <w:pPr>
        <w:numPr>
          <w:ilvl w:val="0"/>
          <w:numId w:val="4"/>
        </w:num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Two-compartment trough model: mean AUC bias 92.61, 95% AUC CI (–105.9, 291.1) [–5.24, 95% AUC CI (–113.2, 102.7)]</w:t>
      </w:r>
    </w:p>
    <w:p w14:paraId="11340464" w14:textId="77777777" w:rsidR="00A76444" w:rsidRPr="00A76444" w:rsidRDefault="00A76444" w:rsidP="00A76444">
      <w:pPr>
        <w:numPr>
          <w:ilvl w:val="0"/>
          <w:numId w:val="4"/>
        </w:num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 xml:space="preserve">One-compartment trough model: AUC bias –14.24, 95% AUC CI (–176.7, 148.2) [–15.03 one-compartment fixed </w:t>
      </w:r>
      <w:proofErr w:type="spellStart"/>
      <w:r w:rsidRPr="00A76444">
        <w:rPr>
          <w:rFonts w:ascii="Times New Roman" w:eastAsia="Times New Roman" w:hAnsi="Times New Roman" w:cs="Times New Roman"/>
          <w:kern w:val="0"/>
          <w14:ligatures w14:val="none"/>
        </w:rPr>
        <w:t>Vd</w:t>
      </w:r>
      <w:proofErr w:type="spellEnd"/>
      <w:r w:rsidRPr="00A76444">
        <w:rPr>
          <w:rFonts w:ascii="Times New Roman" w:eastAsia="Times New Roman" w:hAnsi="Times New Roman" w:cs="Times New Roman"/>
          <w:kern w:val="0"/>
          <w14:ligatures w14:val="none"/>
        </w:rPr>
        <w:t xml:space="preserve">, –10.22 one-compartment Bayesian; fixed </w:t>
      </w:r>
      <w:proofErr w:type="spellStart"/>
      <w:r w:rsidRPr="00A76444">
        <w:rPr>
          <w:rFonts w:ascii="Times New Roman" w:eastAsia="Times New Roman" w:hAnsi="Times New Roman" w:cs="Times New Roman"/>
          <w:kern w:val="0"/>
          <w14:ligatures w14:val="none"/>
        </w:rPr>
        <w:t>Vd</w:t>
      </w:r>
      <w:proofErr w:type="spellEnd"/>
      <w:r w:rsidRPr="00A76444">
        <w:rPr>
          <w:rFonts w:ascii="Times New Roman" w:eastAsia="Times New Roman" w:hAnsi="Times New Roman" w:cs="Times New Roman"/>
          <w:kern w:val="0"/>
          <w14:ligatures w14:val="none"/>
        </w:rPr>
        <w:t xml:space="preserve"> 95% AUC CI (–124.9, 94.8), Bayesian (–113.2, 102.7)]</w:t>
      </w:r>
    </w:p>
    <w:p w14:paraId="13992D9F" w14:textId="77777777" w:rsidR="00A76444" w:rsidRPr="00A76444" w:rsidRDefault="00A76444" w:rsidP="00A76444">
      <w:pPr>
        <w:numPr>
          <w:ilvl w:val="0"/>
          <w:numId w:val="4"/>
        </w:num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One-compartment peak-trough model: AUC bias –6.45, 95% AUC CI (–281, 268) [–6.86, (–90.7, 83.9)]</w:t>
      </w:r>
    </w:p>
    <w:p w14:paraId="7677F690" w14:textId="77777777" w:rsidR="00A76444" w:rsidRPr="00A76444" w:rsidRDefault="00A76444" w:rsidP="00A76444">
      <w:pPr>
        <w:numPr>
          <w:ilvl w:val="0"/>
          <w:numId w:val="4"/>
        </w:num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Two-compartment peak-trough model: AUC bias –13.99, 95% AUC CI (–281.7, 253) [–5.39, 95% AUC CI (–84.6, 73.8)]</w:t>
      </w:r>
    </w:p>
    <w:p w14:paraId="733AEF4A" w14:textId="77777777" w:rsidR="00A76444" w:rsidRPr="00A76444" w:rsidRDefault="00A76444" w:rsidP="00A76444">
      <w:p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 xml:space="preserve">In our analysis, we used the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model to generate 30,000 normally distributed randomized pharmacokinetic parameters to calculate randomized serum levels. Peak-trough randomized levels were analyzed using both linear analytic methods and one-compartment model pharmacokinetic parameters. The one-compartment and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two-compartment models were then fitted to the randomized trough and peak-trough levels, and the predicted AUCs were compared to the true AUCs.</w:t>
      </w:r>
    </w:p>
    <w:p w14:paraId="36FAE930" w14:textId="77777777" w:rsidR="00A76444" w:rsidRPr="00A76444" w:rsidRDefault="00A76444" w:rsidP="00A76444">
      <w:pPr>
        <w:spacing w:before="100" w:beforeAutospacing="1" w:after="100" w:afterAutospacing="1" w:line="300" w:lineRule="atLeast"/>
        <w:rPr>
          <w:rFonts w:ascii="Times New Roman" w:eastAsia="Times New Roman" w:hAnsi="Times New Roman" w:cs="Times New Roman"/>
          <w:kern w:val="0"/>
          <w14:ligatures w14:val="none"/>
        </w:rPr>
      </w:pPr>
      <w:r w:rsidRPr="00A76444">
        <w:rPr>
          <w:rFonts w:ascii="Times New Roman" w:eastAsia="Times New Roman" w:hAnsi="Times New Roman" w:cs="Times New Roman"/>
          <w:kern w:val="0"/>
          <w14:ligatures w14:val="none"/>
        </w:rPr>
        <w:t xml:space="preserve">Differences in results between the studies may be attributed to methodological variations: Maung et al. constructed a two-compartment model, whereas we used the original </w:t>
      </w:r>
      <w:proofErr w:type="spellStart"/>
      <w:r w:rsidRPr="00A76444">
        <w:rPr>
          <w:rFonts w:ascii="Times New Roman" w:eastAsia="Times New Roman" w:hAnsi="Times New Roman" w:cs="Times New Roman"/>
          <w:kern w:val="0"/>
          <w14:ligatures w14:val="none"/>
        </w:rPr>
        <w:t>Goti</w:t>
      </w:r>
      <w:proofErr w:type="spellEnd"/>
      <w:r w:rsidRPr="00A76444">
        <w:rPr>
          <w:rFonts w:ascii="Times New Roman" w:eastAsia="Times New Roman" w:hAnsi="Times New Roman" w:cs="Times New Roman"/>
          <w:kern w:val="0"/>
          <w14:ligatures w14:val="none"/>
        </w:rPr>
        <w:t xml:space="preserve"> model, and our sample size was substantially larger.</w:t>
      </w:r>
    </w:p>
    <w:p w14:paraId="25A7341A" w14:textId="77777777" w:rsidR="00A76444" w:rsidRPr="00871130" w:rsidRDefault="00A76444" w:rsidP="00A76444">
      <w:pPr>
        <w:pStyle w:val="NormalWeb"/>
        <w:spacing w:line="300" w:lineRule="atLeast"/>
      </w:pPr>
      <w:r w:rsidRPr="00871130">
        <w:t>Although the sample size in the study by Neely et al. was relatively small, each patient had rich data sampling, with five to thirteen vancomycin levels collected per individual. Neely et al. combined three data sets totaling 47 patients and constructed two-compartment population models using the full reference data set, a peak-trough data set, and a trough data set. Bayesian priors were calculated from both the full data set and the peak-trough data set, and these priors were subsequently applied to the trough model. The full data model with Bayesian priors was then compared to the peak-trough and trough models, both with and without Bayesian priors.</w:t>
      </w:r>
    </w:p>
    <w:p w14:paraId="1A8697D3" w14:textId="77777777" w:rsidR="00A76444" w:rsidRPr="00871130" w:rsidRDefault="00A76444" w:rsidP="00A76444">
      <w:pPr>
        <w:pStyle w:val="NormalWeb"/>
        <w:spacing w:line="300" w:lineRule="atLeast"/>
      </w:pPr>
      <w:r w:rsidRPr="00871130">
        <w:lastRenderedPageBreak/>
        <w:t>Results from the two-compartment non-Bayesian trough and peak-trough models showed that the median difference between the AUC from the full set and the peak-trough data set was 159.3 (95% CI: 63.6 to 284.6), with an AUC Peak-trough/AUC Full ratio of 0.86 (0.81 to 0.93). The median difference between the AUC from the full set and the trough data set was 341.9 (189.8 to 553.4), and the mean AUC Trough/AUC Full ratio was 0.78 (0.67 to 0.89), indicating that both non-Bayesian models tended to underpredict the reference AUC.</w:t>
      </w:r>
    </w:p>
    <w:p w14:paraId="387B2CFB" w14:textId="77777777" w:rsidR="00A76444" w:rsidRPr="00871130" w:rsidRDefault="00A76444" w:rsidP="00A76444">
      <w:pPr>
        <w:pStyle w:val="NormalWeb"/>
        <w:spacing w:line="300" w:lineRule="atLeast"/>
      </w:pPr>
      <w:r w:rsidRPr="00871130">
        <w:t>When Bayesian priors derived from the full data set were applied to the trough model, the difference between the full set and the full-trough model was much smaller at 23.1 (–21.8 to 71.7), and the AUC Full-Trough/AUC Full ratio improved to 0.97 (0.93–1.02) [0.999]. In contrast, when peak-trough priors were used for the trough model, the median difference between the full set and the trough model was 229.1 (99.9–352.7), with an AUC Trough/AUC Full ratio of 0.85 (0.79 to 0.91). The trough model with full data set priors was able to accurately estimate the AUC, whereas accuracy was reduced when using peak-trough data set priors.</w:t>
      </w:r>
    </w:p>
    <w:p w14:paraId="68795CEB" w14:textId="77777777" w:rsidR="00A76444" w:rsidRPr="00871130" w:rsidRDefault="00A76444" w:rsidP="00A76444">
      <w:pPr>
        <w:pStyle w:val="NormalWeb"/>
        <w:spacing w:line="300" w:lineRule="atLeast"/>
      </w:pPr>
      <w:r w:rsidRPr="00871130">
        <w:t xml:space="preserve">The only overlap between our analyses and those of Neely et al. was in the two-compartment Bayesian trough model with full data set Bayesian priors, where the AUC Trough/AUC Full ratios were similar. Data from our study </w:t>
      </w:r>
      <w:proofErr w:type="gramStart"/>
      <w:r w:rsidRPr="00871130">
        <w:t>are</w:t>
      </w:r>
      <w:proofErr w:type="gramEnd"/>
      <w:r w:rsidRPr="00871130">
        <w:t xml:space="preserve"> provided in brackets where available </w:t>
      </w:r>
      <w:proofErr w:type="gramStart"/>
      <w:r w:rsidRPr="00871130">
        <w:t>[ ]</w:t>
      </w:r>
      <w:proofErr w:type="gramEnd"/>
      <w:r w:rsidRPr="00871130">
        <w:t>.</w:t>
      </w:r>
    </w:p>
    <w:p w14:paraId="45E850BE" w14:textId="23D147C5" w:rsidR="00A76444" w:rsidRDefault="00871130" w:rsidP="0083614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summary, our finding</w:t>
      </w:r>
      <w:r w:rsidR="00BE56E0">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confirm that Bayesian peak-trough </w:t>
      </w:r>
      <w:r w:rsidR="00BE56E0">
        <w:rPr>
          <w:rFonts w:ascii="Times New Roman" w:eastAsia="Times New Roman" w:hAnsi="Times New Roman" w:cs="Times New Roman"/>
          <w:kern w:val="0"/>
          <w14:ligatures w14:val="none"/>
        </w:rPr>
        <w:t>methods offer superior accuracy and clinical reliability for vancomycin AUC estimation compared to trough-only and analytic approaches. These results support the adoption of Bayesian peak-trough strategies as the preferred approach for therapeutic drug monitoring in clinical practice.</w:t>
      </w:r>
    </w:p>
    <w:p w14:paraId="3354B8A1" w14:textId="77777777" w:rsidR="00A76444" w:rsidRPr="00836144" w:rsidRDefault="00A76444" w:rsidP="00836144">
      <w:pPr>
        <w:spacing w:before="100" w:beforeAutospacing="1" w:after="100" w:afterAutospacing="1" w:line="240" w:lineRule="auto"/>
        <w:rPr>
          <w:rFonts w:ascii="Times New Roman" w:eastAsia="Times New Roman" w:hAnsi="Times New Roman" w:cs="Times New Roman"/>
          <w:kern w:val="0"/>
          <w14:ligatures w14:val="none"/>
        </w:rPr>
      </w:pPr>
    </w:p>
    <w:p w14:paraId="550D33A4" w14:textId="77777777" w:rsidR="00E5296A" w:rsidRDefault="00836144" w:rsidP="00836144">
      <w:pPr>
        <w:spacing w:before="100" w:beforeAutospacing="1" w:after="100" w:afterAutospacing="1" w:line="240" w:lineRule="auto"/>
        <w:rPr>
          <w:rFonts w:ascii="Times New Roman" w:eastAsia="Times New Roman" w:hAnsi="Times New Roman" w:cs="Times New Roman"/>
          <w:b/>
          <w:bCs/>
          <w:kern w:val="0"/>
          <w14:ligatures w14:val="none"/>
        </w:rPr>
      </w:pPr>
      <w:r w:rsidRPr="00836144">
        <w:rPr>
          <w:rFonts w:ascii="Times New Roman" w:eastAsia="Times New Roman" w:hAnsi="Times New Roman" w:cs="Times New Roman"/>
          <w:b/>
          <w:bCs/>
          <w:kern w:val="0"/>
          <w14:ligatures w14:val="none"/>
        </w:rPr>
        <w:t>Limitations</w:t>
      </w:r>
    </w:p>
    <w:p w14:paraId="3010E3DB" w14:textId="77777777" w:rsidR="00134116" w:rsidRPr="000C5296" w:rsidRDefault="00134116" w:rsidP="00134116">
      <w:pPr>
        <w:pStyle w:val="NormalWeb"/>
        <w:spacing w:line="300" w:lineRule="atLeast"/>
      </w:pPr>
      <w:r w:rsidRPr="000C5296">
        <w:t xml:space="preserve">This study was based on Monte Carlo simulations utilizing the </w:t>
      </w:r>
      <w:proofErr w:type="spellStart"/>
      <w:r w:rsidRPr="000C5296">
        <w:t>Goti</w:t>
      </w:r>
      <w:proofErr w:type="spellEnd"/>
      <w:r w:rsidRPr="000C5296">
        <w:t xml:space="preserve"> two-compartment model, which, although developed from a large patient cohort, may not fully capture the variability encountered in real-world clinical practice. The simulations relied on steady-state levels and fixed patient parameters (creatinine clearance and weight), potentially limiting the generalizability of the findings to patients with differing renal function, body weight, or clinical conditions. Additionally, the </w:t>
      </w:r>
      <w:proofErr w:type="spellStart"/>
      <w:r w:rsidRPr="000C5296">
        <w:t>Goti</w:t>
      </w:r>
      <w:proofErr w:type="spellEnd"/>
      <w:r w:rsidRPr="000C5296">
        <w:t xml:space="preserve"> model was constructed from routine clinical monitoring rather than rich data sampling, which may affect the precision of pharmacokinetic estimates. Methodological differences from other studies further constrain direct comparisons.</w:t>
      </w:r>
    </w:p>
    <w:p w14:paraId="13021284" w14:textId="1DEA07E0" w:rsidR="00134116" w:rsidRPr="00134116" w:rsidRDefault="00134116" w:rsidP="00134116">
      <w:pPr>
        <w:pStyle w:val="NormalWeb"/>
        <w:spacing w:line="300" w:lineRule="atLeast"/>
      </w:pPr>
      <w:r w:rsidRPr="00134116">
        <w:t xml:space="preserve">To address concerns about renal function variability, we conducted an unpublished Monte Carlo analysis using the same simulation framework, stratifying 30,000 virtual patients </w:t>
      </w:r>
      <w:r w:rsidR="0082463E">
        <w:t xml:space="preserve">into </w:t>
      </w:r>
      <w:r w:rsidRPr="00134116">
        <w:t xml:space="preserve">creatinine clearance groups of 30, 60, 90, and 120 mL/min. The comparative performance of AUC prediction methods within each group closely mirrored the findings observed in the 120 mL/min cohort, suggesting that our results are robust across a range of renal function scenarios. </w:t>
      </w:r>
      <w:r w:rsidR="0082463E" w:rsidRPr="00134116">
        <w:t>However,</w:t>
      </w:r>
      <w:r w:rsidRPr="00134116">
        <w:t xml:space="preserve"> these findings remain unpublished and were based on simulated data with </w:t>
      </w:r>
      <w:r w:rsidR="0082463E">
        <w:t xml:space="preserve">a </w:t>
      </w:r>
      <w:r w:rsidRPr="00134116">
        <w:t xml:space="preserve">fixed </w:t>
      </w:r>
      <w:r w:rsidR="0082463E">
        <w:t>weight and creatinine clearance</w:t>
      </w:r>
      <w:r w:rsidRPr="00134116">
        <w:t>. Future research should validate these findings in diverse patient populations, incorporate real-world variability, and explore alternative pharmacokinetic models to ensure broader applicability and clinical relevance.</w:t>
      </w:r>
    </w:p>
    <w:p w14:paraId="7C8A69FA" w14:textId="77777777"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Conclusion</w:t>
      </w:r>
    </w:p>
    <w:p w14:paraId="4F52B5FE" w14:textId="60C519CE" w:rsidR="0060304C" w:rsidRPr="00460817" w:rsidRDefault="0060304C" w:rsidP="0060304C">
      <w:pPr>
        <w:pStyle w:val="NormalWeb"/>
        <w:spacing w:line="300" w:lineRule="atLeast"/>
      </w:pPr>
      <w:r w:rsidRPr="00460817">
        <w:t>This Monte Carlo simulation demonstrates that Bayesian peak-trough methods, whether one- or two-compartment</w:t>
      </w:r>
      <w:r w:rsidR="0082463E">
        <w:t xml:space="preserve">, </w:t>
      </w:r>
      <w:r w:rsidRPr="00460817">
        <w:t xml:space="preserve">provide the most accurate and clinically reliable estimates of vancomycin AUC, outperforming trough-only and analytic approaches in terms of RMSE, confidence intervals, and clinical decision agreement. Notably, two-compartment Bayesian models do not confer additional benefit over one-compartment Bayesian </w:t>
      </w:r>
      <w:r w:rsidRPr="00460817">
        <w:lastRenderedPageBreak/>
        <w:t>models when only sparse sampling is available, suggesting that over-parameterization may limit their utility in routine clinical monitoring. These findings reinforce current consensus guidelines advocating for AUC-guided vancomycin dosing and support the integration of Bayesian peak-trough approaches into therapeutic drug monitoring protocols to optimize efficacy and minimize nephrotoxicity.</w:t>
      </w:r>
    </w:p>
    <w:p w14:paraId="331CBDC5" w14:textId="77777777" w:rsidR="0060304C" w:rsidRPr="00460817" w:rsidRDefault="0060304C" w:rsidP="0060304C">
      <w:pPr>
        <w:pStyle w:val="NormalWeb"/>
        <w:spacing w:line="300" w:lineRule="atLeast"/>
      </w:pPr>
      <w:r w:rsidRPr="00460817">
        <w:t>While simulation-based, our results align with published clinical studies and highlight the need for further validation in diverse patient populations and real-world settings. By directly comparing true AUCs with estimated values across multiple dosing models, this study advances the understanding of vancomycin pharmacokinetic monitoring and provides evidence to refine therapeutic drug monitoring practices. Future research should explore the cost-effectiveness and implementation strategies for Bayesian dosing platforms to ensure broad accessibility and impact on patient outcomes.</w:t>
      </w:r>
    </w:p>
    <w:p w14:paraId="6BA384C9" w14:textId="77777777" w:rsidR="0060304C" w:rsidRPr="00836144" w:rsidRDefault="0060304C" w:rsidP="00836144">
      <w:pPr>
        <w:spacing w:before="100" w:beforeAutospacing="1" w:after="100" w:afterAutospacing="1" w:line="240" w:lineRule="auto"/>
        <w:rPr>
          <w:rFonts w:ascii="Times New Roman" w:eastAsia="Times New Roman" w:hAnsi="Times New Roman" w:cs="Times New Roman"/>
          <w:kern w:val="0"/>
          <w14:ligatures w14:val="none"/>
        </w:rPr>
      </w:pPr>
    </w:p>
    <w:p w14:paraId="45CBEB8E" w14:textId="77777777" w:rsidR="00836144" w:rsidRPr="00836144" w:rsidRDefault="00836144" w:rsidP="0083614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p>
    <w:p w14:paraId="04627E72"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0D8F7589"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3E815379"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09E73921"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1258A7E1"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56B793B4"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2B9745F8"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4B9525B8"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0A433D7D"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563A6BB4"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0E79B38E"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4416403A"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48900ECC"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31D9D27C" w14:textId="77777777" w:rsidR="00DA152D" w:rsidRDefault="00DA152D"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76E25E4C" w14:textId="77777777" w:rsidR="00504AFE" w:rsidRDefault="00504AFE"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29FE6C58" w14:textId="77777777" w:rsidR="00504AFE" w:rsidRDefault="00504AFE"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314B20D5" w14:textId="77777777" w:rsidR="00504AFE" w:rsidRDefault="00504AFE"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2897D983" w14:textId="77777777" w:rsidR="00504AFE" w:rsidRDefault="00504AFE" w:rsidP="00836144">
      <w:pPr>
        <w:spacing w:before="100" w:beforeAutospacing="1" w:after="100" w:afterAutospacing="1" w:line="240" w:lineRule="auto"/>
        <w:rPr>
          <w:rFonts w:ascii="Times New Roman" w:eastAsia="Times New Roman" w:hAnsi="Times New Roman" w:cs="Times New Roman"/>
          <w:b/>
          <w:bCs/>
          <w:kern w:val="0"/>
          <w14:ligatures w14:val="none"/>
        </w:rPr>
      </w:pPr>
    </w:p>
    <w:p w14:paraId="344D083D" w14:textId="4803167B" w:rsidR="00395146" w:rsidRPr="00037E9C" w:rsidRDefault="00395146" w:rsidP="00836144">
      <w:pPr>
        <w:spacing w:before="100" w:beforeAutospacing="1" w:after="100" w:afterAutospacing="1" w:line="240" w:lineRule="auto"/>
        <w:rPr>
          <w:rFonts w:ascii="Times New Roman" w:eastAsia="Times New Roman" w:hAnsi="Times New Roman" w:cs="Times New Roman"/>
          <w:b/>
          <w:bCs/>
          <w:kern w:val="0"/>
          <w14:ligatures w14:val="none"/>
        </w:rPr>
      </w:pPr>
      <w:r w:rsidRPr="00037E9C">
        <w:rPr>
          <w:rFonts w:ascii="Times New Roman" w:eastAsia="Times New Roman" w:hAnsi="Times New Roman" w:cs="Times New Roman"/>
          <w:b/>
          <w:bCs/>
          <w:kern w:val="0"/>
          <w14:ligatures w14:val="none"/>
        </w:rPr>
        <w:lastRenderedPageBreak/>
        <w:t>References AMA Style</w:t>
      </w:r>
    </w:p>
    <w:p w14:paraId="1EC9F0A3" w14:textId="615C6900" w:rsidR="00640DFA" w:rsidRPr="00037E9C" w:rsidRDefault="000529D4" w:rsidP="000529D4">
      <w:pPr>
        <w:spacing w:before="100" w:beforeAutospacing="1" w:after="100" w:afterAutospacing="1" w:line="240" w:lineRule="auto"/>
        <w:rPr>
          <w:rFonts w:ascii="Times New Roman" w:hAnsi="Times New Roman" w:cs="Times New Roman"/>
          <w:color w:val="212121"/>
          <w:shd w:val="clear" w:color="auto" w:fill="FFFFFF"/>
        </w:rPr>
      </w:pPr>
      <w:r w:rsidRPr="0036062F">
        <w:rPr>
          <w:rFonts w:ascii="Times New Roman" w:hAnsi="Times New Roman" w:cs="Times New Roman"/>
          <w:color w:val="212121"/>
          <w:shd w:val="clear" w:color="auto" w:fill="FFFFFF"/>
        </w:rPr>
        <w:t>1</w:t>
      </w:r>
      <w:r w:rsidR="00640DFA" w:rsidRPr="0036062F">
        <w:rPr>
          <w:rFonts w:ascii="Times New Roman" w:hAnsi="Times New Roman" w:cs="Times New Roman"/>
          <w:color w:val="212121"/>
          <w:shd w:val="clear" w:color="auto" w:fill="FFFFFF"/>
        </w:rPr>
        <w:t>.</w:t>
      </w:r>
      <w:r w:rsidRPr="0036062F">
        <w:rPr>
          <w:rFonts w:ascii="Times New Roman" w:hAnsi="Times New Roman" w:cs="Times New Roman"/>
          <w:color w:val="212121"/>
          <w:shd w:val="clear" w:color="auto" w:fill="FFFFFF"/>
        </w:rPr>
        <w:t xml:space="preserve"> </w:t>
      </w:r>
      <w:r w:rsidR="00640DFA" w:rsidRPr="0036062F">
        <w:rPr>
          <w:rFonts w:ascii="Times New Roman" w:hAnsi="Times New Roman" w:cs="Times New Roman"/>
          <w:color w:val="212121"/>
          <w:shd w:val="clear" w:color="auto" w:fill="FFFFFF"/>
        </w:rPr>
        <w:t xml:space="preserve">van Hal SJ, Paterson DL, Lodise TP. </w:t>
      </w:r>
      <w:r w:rsidR="00640DFA" w:rsidRPr="00037E9C">
        <w:rPr>
          <w:rFonts w:ascii="Times New Roman" w:hAnsi="Times New Roman" w:cs="Times New Roman"/>
          <w:color w:val="212121"/>
          <w:shd w:val="clear" w:color="auto" w:fill="FFFFFF"/>
        </w:rPr>
        <w:t>Systematic review and meta-analysis of vancomycin-induced nephrotoxicity associated with dosing schedules that maintain troughs between 15 and 20 milligrams per liter. </w:t>
      </w:r>
      <w:proofErr w:type="spellStart"/>
      <w:r w:rsidR="00640DFA" w:rsidRPr="00037E9C">
        <w:rPr>
          <w:rFonts w:ascii="Times New Roman" w:hAnsi="Times New Roman" w:cs="Times New Roman"/>
          <w:i/>
          <w:iCs/>
          <w:color w:val="212121"/>
          <w:shd w:val="clear" w:color="auto" w:fill="FFFFFF"/>
        </w:rPr>
        <w:t>Antimicrob</w:t>
      </w:r>
      <w:proofErr w:type="spellEnd"/>
      <w:r w:rsidR="00640DFA" w:rsidRPr="00037E9C">
        <w:rPr>
          <w:rFonts w:ascii="Times New Roman" w:hAnsi="Times New Roman" w:cs="Times New Roman"/>
          <w:i/>
          <w:iCs/>
          <w:color w:val="212121"/>
          <w:shd w:val="clear" w:color="auto" w:fill="FFFFFF"/>
        </w:rPr>
        <w:t xml:space="preserve"> Agents </w:t>
      </w:r>
      <w:proofErr w:type="spellStart"/>
      <w:r w:rsidR="00640DFA" w:rsidRPr="00037E9C">
        <w:rPr>
          <w:rFonts w:ascii="Times New Roman" w:hAnsi="Times New Roman" w:cs="Times New Roman"/>
          <w:i/>
          <w:iCs/>
          <w:color w:val="212121"/>
          <w:shd w:val="clear" w:color="auto" w:fill="FFFFFF"/>
        </w:rPr>
        <w:t>Chemother</w:t>
      </w:r>
      <w:proofErr w:type="spellEnd"/>
      <w:r w:rsidR="00640DFA" w:rsidRPr="00037E9C">
        <w:rPr>
          <w:rFonts w:ascii="Times New Roman" w:hAnsi="Times New Roman" w:cs="Times New Roman"/>
          <w:color w:val="212121"/>
          <w:shd w:val="clear" w:color="auto" w:fill="FFFFFF"/>
        </w:rPr>
        <w:t>. 2013;57(2):734-744. doi:10.1128/AAC.01568-12</w:t>
      </w:r>
    </w:p>
    <w:p w14:paraId="6A671C76" w14:textId="4FA8F190" w:rsidR="00C87979" w:rsidRPr="00037E9C" w:rsidRDefault="00C87979" w:rsidP="00C87979">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 xml:space="preserve">2. Old 6. Neely MN, Youn G, Jones B, et al. Are vancomycin </w:t>
      </w:r>
      <w:proofErr w:type="gramStart"/>
      <w:r w:rsidRPr="00037E9C">
        <w:rPr>
          <w:rFonts w:ascii="Times New Roman" w:hAnsi="Times New Roman" w:cs="Times New Roman"/>
          <w:color w:val="212121"/>
          <w:shd w:val="clear" w:color="auto" w:fill="FFFFFF"/>
        </w:rPr>
        <w:t>trough</w:t>
      </w:r>
      <w:proofErr w:type="gramEnd"/>
      <w:r w:rsidRPr="00037E9C">
        <w:rPr>
          <w:rFonts w:ascii="Times New Roman" w:hAnsi="Times New Roman" w:cs="Times New Roman"/>
          <w:color w:val="212121"/>
          <w:shd w:val="clear" w:color="auto" w:fill="FFFFFF"/>
        </w:rPr>
        <w:t xml:space="preserve"> concentrations adequate for optimal </w:t>
      </w:r>
      <w:proofErr w:type="gramStart"/>
      <w:r w:rsidRPr="00037E9C">
        <w:rPr>
          <w:rFonts w:ascii="Times New Roman" w:hAnsi="Times New Roman" w:cs="Times New Roman"/>
          <w:color w:val="212121"/>
          <w:shd w:val="clear" w:color="auto" w:fill="FFFFFF"/>
        </w:rPr>
        <w:t>dosing?.</w:t>
      </w:r>
      <w:proofErr w:type="gramEnd"/>
      <w:r w:rsidRPr="00037E9C">
        <w:rPr>
          <w:rFonts w:ascii="Times New Roman" w:hAnsi="Times New Roman" w:cs="Times New Roman"/>
          <w:color w:val="212121"/>
          <w:shd w:val="clear" w:color="auto" w:fill="FFFFFF"/>
        </w:rPr>
        <w:t> </w:t>
      </w:r>
      <w:proofErr w:type="spellStart"/>
      <w:r w:rsidRPr="00037E9C">
        <w:rPr>
          <w:rFonts w:ascii="Times New Roman" w:hAnsi="Times New Roman" w:cs="Times New Roman"/>
          <w:i/>
          <w:iCs/>
          <w:color w:val="212121"/>
          <w:shd w:val="clear" w:color="auto" w:fill="FFFFFF"/>
        </w:rPr>
        <w:t>Antimicrob</w:t>
      </w:r>
      <w:proofErr w:type="spellEnd"/>
      <w:r w:rsidRPr="00037E9C">
        <w:rPr>
          <w:rFonts w:ascii="Times New Roman" w:hAnsi="Times New Roman" w:cs="Times New Roman"/>
          <w:i/>
          <w:iCs/>
          <w:color w:val="212121"/>
          <w:shd w:val="clear" w:color="auto" w:fill="FFFFFF"/>
        </w:rPr>
        <w:t xml:space="preserve"> Agents </w:t>
      </w:r>
      <w:proofErr w:type="spellStart"/>
      <w:r w:rsidRPr="00037E9C">
        <w:rPr>
          <w:rFonts w:ascii="Times New Roman" w:hAnsi="Times New Roman" w:cs="Times New Roman"/>
          <w:i/>
          <w:iCs/>
          <w:color w:val="212121"/>
          <w:shd w:val="clear" w:color="auto" w:fill="FFFFFF"/>
        </w:rPr>
        <w:t>Chemother</w:t>
      </w:r>
      <w:proofErr w:type="spellEnd"/>
      <w:r w:rsidRPr="00037E9C">
        <w:rPr>
          <w:rFonts w:ascii="Times New Roman" w:hAnsi="Times New Roman" w:cs="Times New Roman"/>
          <w:color w:val="212121"/>
          <w:shd w:val="clear" w:color="auto" w:fill="FFFFFF"/>
        </w:rPr>
        <w:t>. 2014;58(1):309-316. doi:10.1128/AAC.01653-13</w:t>
      </w:r>
    </w:p>
    <w:p w14:paraId="3A86726B" w14:textId="79B0284D" w:rsidR="00640DFA" w:rsidRPr="00037E9C" w:rsidRDefault="000529D4" w:rsidP="003759F5">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3</w:t>
      </w:r>
      <w:r w:rsidR="00640DFA" w:rsidRPr="00037E9C">
        <w:rPr>
          <w:rFonts w:ascii="Times New Roman" w:hAnsi="Times New Roman" w:cs="Times New Roman"/>
          <w:color w:val="212121"/>
          <w:shd w:val="clear" w:color="auto" w:fill="FFFFFF"/>
        </w:rPr>
        <w:t>.</w:t>
      </w:r>
      <w:r w:rsidRPr="00037E9C">
        <w:rPr>
          <w:rFonts w:ascii="Times New Roman" w:hAnsi="Times New Roman" w:cs="Times New Roman"/>
          <w:color w:val="212121"/>
          <w:shd w:val="clear" w:color="auto" w:fill="FFFFFF"/>
        </w:rPr>
        <w:t xml:space="preserve"> </w:t>
      </w:r>
      <w:proofErr w:type="spellStart"/>
      <w:r w:rsidRPr="00037E9C">
        <w:rPr>
          <w:rFonts w:ascii="Times New Roman" w:hAnsi="Times New Roman" w:cs="Times New Roman"/>
          <w:color w:val="212121"/>
          <w:shd w:val="clear" w:color="auto" w:fill="FFFFFF"/>
        </w:rPr>
        <w:t>Aljefri</w:t>
      </w:r>
      <w:proofErr w:type="spellEnd"/>
      <w:r w:rsidRPr="00037E9C">
        <w:rPr>
          <w:rFonts w:ascii="Times New Roman" w:hAnsi="Times New Roman" w:cs="Times New Roman"/>
          <w:color w:val="212121"/>
          <w:shd w:val="clear" w:color="auto" w:fill="FFFFFF"/>
        </w:rPr>
        <w:t xml:space="preserve"> DM, Avedissian SN, Rhodes NJ, </w:t>
      </w:r>
      <w:proofErr w:type="spellStart"/>
      <w:r w:rsidRPr="00037E9C">
        <w:rPr>
          <w:rFonts w:ascii="Times New Roman" w:hAnsi="Times New Roman" w:cs="Times New Roman"/>
          <w:color w:val="212121"/>
          <w:shd w:val="clear" w:color="auto" w:fill="FFFFFF"/>
        </w:rPr>
        <w:t>Postelnick</w:t>
      </w:r>
      <w:proofErr w:type="spellEnd"/>
      <w:r w:rsidRPr="00037E9C">
        <w:rPr>
          <w:rFonts w:ascii="Times New Roman" w:hAnsi="Times New Roman" w:cs="Times New Roman"/>
          <w:color w:val="212121"/>
          <w:shd w:val="clear" w:color="auto" w:fill="FFFFFF"/>
        </w:rPr>
        <w:t xml:space="preserve"> MJ, Nguyen K, Scheetz MH. Vancomycin Area Under the Curve and Acute Kidney Injury: A Meta-analysis. </w:t>
      </w:r>
      <w:r w:rsidRPr="00037E9C">
        <w:rPr>
          <w:rFonts w:ascii="Times New Roman" w:hAnsi="Times New Roman" w:cs="Times New Roman"/>
          <w:i/>
          <w:iCs/>
          <w:color w:val="212121"/>
          <w:shd w:val="clear" w:color="auto" w:fill="FFFFFF"/>
        </w:rPr>
        <w:t>Clin Infect Dis</w:t>
      </w:r>
      <w:r w:rsidRPr="00037E9C">
        <w:rPr>
          <w:rFonts w:ascii="Times New Roman" w:hAnsi="Times New Roman" w:cs="Times New Roman"/>
          <w:color w:val="212121"/>
          <w:shd w:val="clear" w:color="auto" w:fill="FFFFFF"/>
        </w:rPr>
        <w:t>. 2019;69(11):1881-1887. doi:10.1093/</w:t>
      </w:r>
      <w:proofErr w:type="spellStart"/>
      <w:r w:rsidRPr="00037E9C">
        <w:rPr>
          <w:rFonts w:ascii="Times New Roman" w:hAnsi="Times New Roman" w:cs="Times New Roman"/>
          <w:color w:val="212121"/>
          <w:shd w:val="clear" w:color="auto" w:fill="FFFFFF"/>
        </w:rPr>
        <w:t>cid</w:t>
      </w:r>
      <w:proofErr w:type="spellEnd"/>
      <w:r w:rsidRPr="00037E9C">
        <w:rPr>
          <w:rFonts w:ascii="Times New Roman" w:hAnsi="Times New Roman" w:cs="Times New Roman"/>
          <w:color w:val="212121"/>
          <w:shd w:val="clear" w:color="auto" w:fill="FFFFFF"/>
        </w:rPr>
        <w:t>/ciz051</w:t>
      </w:r>
    </w:p>
    <w:p w14:paraId="46C4DBB6" w14:textId="01113D9F" w:rsidR="003759F5" w:rsidRPr="00037E9C" w:rsidRDefault="003759F5" w:rsidP="003759F5">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4</w:t>
      </w:r>
      <w:r w:rsidR="00640DFA" w:rsidRPr="00037E9C">
        <w:rPr>
          <w:rFonts w:ascii="Times New Roman" w:hAnsi="Times New Roman" w:cs="Times New Roman"/>
          <w:color w:val="212121"/>
          <w:shd w:val="clear" w:color="auto" w:fill="FFFFFF"/>
        </w:rPr>
        <w:t>.</w:t>
      </w:r>
      <w:r w:rsidRPr="00037E9C">
        <w:rPr>
          <w:rFonts w:ascii="Times New Roman" w:hAnsi="Times New Roman" w:cs="Times New Roman"/>
          <w:color w:val="212121"/>
          <w:shd w:val="clear" w:color="auto" w:fill="FFFFFF"/>
        </w:rPr>
        <w:t xml:space="preserve"> Lodise TP, Patel N, </w:t>
      </w:r>
      <w:proofErr w:type="spellStart"/>
      <w:r w:rsidRPr="00037E9C">
        <w:rPr>
          <w:rFonts w:ascii="Times New Roman" w:hAnsi="Times New Roman" w:cs="Times New Roman"/>
          <w:color w:val="212121"/>
          <w:shd w:val="clear" w:color="auto" w:fill="FFFFFF"/>
        </w:rPr>
        <w:t>Lomaestro</w:t>
      </w:r>
      <w:proofErr w:type="spellEnd"/>
      <w:r w:rsidRPr="00037E9C">
        <w:rPr>
          <w:rFonts w:ascii="Times New Roman" w:hAnsi="Times New Roman" w:cs="Times New Roman"/>
          <w:color w:val="212121"/>
          <w:shd w:val="clear" w:color="auto" w:fill="FFFFFF"/>
        </w:rPr>
        <w:t xml:space="preserve"> BM, Rodvold KA, </w:t>
      </w:r>
      <w:proofErr w:type="spellStart"/>
      <w:r w:rsidRPr="00037E9C">
        <w:rPr>
          <w:rFonts w:ascii="Times New Roman" w:hAnsi="Times New Roman" w:cs="Times New Roman"/>
          <w:color w:val="212121"/>
          <w:shd w:val="clear" w:color="auto" w:fill="FFFFFF"/>
        </w:rPr>
        <w:t>Drusano</w:t>
      </w:r>
      <w:proofErr w:type="spellEnd"/>
      <w:r w:rsidRPr="00037E9C">
        <w:rPr>
          <w:rFonts w:ascii="Times New Roman" w:hAnsi="Times New Roman" w:cs="Times New Roman"/>
          <w:color w:val="212121"/>
          <w:shd w:val="clear" w:color="auto" w:fill="FFFFFF"/>
        </w:rPr>
        <w:t xml:space="preserve"> GL. Relationship between initial vancomycin concentration-time profile and nephrotoxicity among hospitalized patients. </w:t>
      </w:r>
      <w:r w:rsidRPr="00037E9C">
        <w:rPr>
          <w:rFonts w:ascii="Times New Roman" w:hAnsi="Times New Roman" w:cs="Times New Roman"/>
          <w:i/>
          <w:iCs/>
          <w:color w:val="212121"/>
          <w:shd w:val="clear" w:color="auto" w:fill="FFFFFF"/>
        </w:rPr>
        <w:t>Clin Infect Dis</w:t>
      </w:r>
      <w:r w:rsidRPr="00037E9C">
        <w:rPr>
          <w:rFonts w:ascii="Times New Roman" w:hAnsi="Times New Roman" w:cs="Times New Roman"/>
          <w:color w:val="212121"/>
          <w:shd w:val="clear" w:color="auto" w:fill="FFFFFF"/>
        </w:rPr>
        <w:t>. 2009;49(4):507-514. doi:10.1086/600884</w:t>
      </w:r>
    </w:p>
    <w:p w14:paraId="75FCBDDA" w14:textId="353AF805" w:rsidR="000529D4" w:rsidRPr="00037E9C" w:rsidRDefault="003759F5" w:rsidP="000529D4">
      <w:pPr>
        <w:spacing w:before="100" w:beforeAutospacing="1" w:after="100" w:afterAutospacing="1" w:line="240" w:lineRule="auto"/>
        <w:rPr>
          <w:rFonts w:ascii="Times New Roman" w:hAnsi="Times New Roman" w:cs="Times New Roman"/>
          <w:color w:val="212121"/>
          <w:shd w:val="clear" w:color="auto" w:fill="FFFFFF"/>
        </w:rPr>
      </w:pPr>
      <w:r w:rsidRPr="0036062F">
        <w:rPr>
          <w:rFonts w:ascii="Times New Roman" w:hAnsi="Times New Roman" w:cs="Times New Roman"/>
          <w:color w:val="212121"/>
          <w:shd w:val="clear" w:color="auto" w:fill="FFFFFF"/>
        </w:rPr>
        <w:t>5</w:t>
      </w:r>
      <w:r w:rsidR="00640DFA" w:rsidRPr="0036062F">
        <w:rPr>
          <w:rFonts w:ascii="Times New Roman" w:hAnsi="Times New Roman" w:cs="Times New Roman"/>
          <w:color w:val="212121"/>
          <w:shd w:val="clear" w:color="auto" w:fill="FFFFFF"/>
        </w:rPr>
        <w:t>.</w:t>
      </w:r>
      <w:r w:rsidR="000529D4" w:rsidRPr="0036062F">
        <w:rPr>
          <w:rFonts w:ascii="Times New Roman" w:hAnsi="Times New Roman" w:cs="Times New Roman"/>
          <w:color w:val="212121"/>
          <w:shd w:val="clear" w:color="auto" w:fill="FFFFFF"/>
        </w:rPr>
        <w:t xml:space="preserve"> van Hal SJ, Paterson DL, Lodise TP. </w:t>
      </w:r>
      <w:r w:rsidR="000529D4" w:rsidRPr="00037E9C">
        <w:rPr>
          <w:rFonts w:ascii="Times New Roman" w:hAnsi="Times New Roman" w:cs="Times New Roman"/>
          <w:color w:val="212121"/>
          <w:shd w:val="clear" w:color="auto" w:fill="FFFFFF"/>
        </w:rPr>
        <w:t>Systematic review and meta-analysis of vancomycin-induced nephrotoxicity associated with dosing schedules that maintain troughs between 15 and 20 milligrams per liter. </w:t>
      </w:r>
      <w:proofErr w:type="spellStart"/>
      <w:r w:rsidR="000529D4" w:rsidRPr="00037E9C">
        <w:rPr>
          <w:rFonts w:ascii="Times New Roman" w:hAnsi="Times New Roman" w:cs="Times New Roman"/>
          <w:i/>
          <w:iCs/>
          <w:color w:val="212121"/>
          <w:shd w:val="clear" w:color="auto" w:fill="FFFFFF"/>
        </w:rPr>
        <w:t>Antimicrob</w:t>
      </w:r>
      <w:proofErr w:type="spellEnd"/>
      <w:r w:rsidR="000529D4" w:rsidRPr="00037E9C">
        <w:rPr>
          <w:rFonts w:ascii="Times New Roman" w:hAnsi="Times New Roman" w:cs="Times New Roman"/>
          <w:i/>
          <w:iCs/>
          <w:color w:val="212121"/>
          <w:shd w:val="clear" w:color="auto" w:fill="FFFFFF"/>
        </w:rPr>
        <w:t xml:space="preserve"> Agents </w:t>
      </w:r>
      <w:proofErr w:type="spellStart"/>
      <w:r w:rsidR="000529D4" w:rsidRPr="00037E9C">
        <w:rPr>
          <w:rFonts w:ascii="Times New Roman" w:hAnsi="Times New Roman" w:cs="Times New Roman"/>
          <w:i/>
          <w:iCs/>
          <w:color w:val="212121"/>
          <w:shd w:val="clear" w:color="auto" w:fill="FFFFFF"/>
        </w:rPr>
        <w:t>Chemother</w:t>
      </w:r>
      <w:proofErr w:type="spellEnd"/>
      <w:r w:rsidR="000529D4" w:rsidRPr="00037E9C">
        <w:rPr>
          <w:rFonts w:ascii="Times New Roman" w:hAnsi="Times New Roman" w:cs="Times New Roman"/>
          <w:color w:val="212121"/>
          <w:shd w:val="clear" w:color="auto" w:fill="FFFFFF"/>
        </w:rPr>
        <w:t>. 2013;57(2):734-744. doi:10.1128/AAC.01568-12</w:t>
      </w:r>
    </w:p>
    <w:p w14:paraId="741AD56F" w14:textId="508B91A1" w:rsidR="00C87979" w:rsidRPr="00037E9C" w:rsidRDefault="007740D7" w:rsidP="00C87979">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6.</w:t>
      </w:r>
      <w:r w:rsidR="00C87979" w:rsidRPr="00037E9C">
        <w:rPr>
          <w:rFonts w:ascii="Times New Roman" w:hAnsi="Times New Roman" w:cs="Times New Roman"/>
          <w:color w:val="212121"/>
          <w:shd w:val="clear" w:color="auto" w:fill="FFFFFF"/>
        </w:rPr>
        <w:t xml:space="preserve"> </w:t>
      </w:r>
      <w:proofErr w:type="spellStart"/>
      <w:r w:rsidR="00C87979" w:rsidRPr="00037E9C">
        <w:rPr>
          <w:rFonts w:ascii="Times New Roman" w:hAnsi="Times New Roman" w:cs="Times New Roman"/>
          <w:color w:val="212121"/>
          <w:shd w:val="clear" w:color="auto" w:fill="FFFFFF"/>
        </w:rPr>
        <w:t>Moenster</w:t>
      </w:r>
      <w:proofErr w:type="spellEnd"/>
      <w:r w:rsidR="00C87979" w:rsidRPr="00037E9C">
        <w:rPr>
          <w:rFonts w:ascii="Times New Roman" w:hAnsi="Times New Roman" w:cs="Times New Roman"/>
          <w:color w:val="212121"/>
          <w:shd w:val="clear" w:color="auto" w:fill="FFFFFF"/>
        </w:rPr>
        <w:t xml:space="preserve"> RP, Linneman TW, Finnegan PM, Hand S, Thomas Z, McDonald JR. Acute renal failure associated with vancomycin and β-lactams for the treatment of osteomyelitis in diabetics: piperacillin-tazobactam as compared with cefepime. </w:t>
      </w:r>
      <w:r w:rsidR="00C87979" w:rsidRPr="00037E9C">
        <w:rPr>
          <w:rFonts w:ascii="Times New Roman" w:hAnsi="Times New Roman" w:cs="Times New Roman"/>
          <w:i/>
          <w:iCs/>
          <w:color w:val="212121"/>
          <w:shd w:val="clear" w:color="auto" w:fill="FFFFFF"/>
        </w:rPr>
        <w:t xml:space="preserve">Clin </w:t>
      </w:r>
      <w:proofErr w:type="spellStart"/>
      <w:r w:rsidR="00C87979" w:rsidRPr="00037E9C">
        <w:rPr>
          <w:rFonts w:ascii="Times New Roman" w:hAnsi="Times New Roman" w:cs="Times New Roman"/>
          <w:i/>
          <w:iCs/>
          <w:color w:val="212121"/>
          <w:shd w:val="clear" w:color="auto" w:fill="FFFFFF"/>
        </w:rPr>
        <w:t>Microbiol</w:t>
      </w:r>
      <w:proofErr w:type="spellEnd"/>
      <w:r w:rsidR="00C87979" w:rsidRPr="00037E9C">
        <w:rPr>
          <w:rFonts w:ascii="Times New Roman" w:hAnsi="Times New Roman" w:cs="Times New Roman"/>
          <w:i/>
          <w:iCs/>
          <w:color w:val="212121"/>
          <w:shd w:val="clear" w:color="auto" w:fill="FFFFFF"/>
        </w:rPr>
        <w:t xml:space="preserve"> Infect</w:t>
      </w:r>
      <w:r w:rsidR="00C87979" w:rsidRPr="00037E9C">
        <w:rPr>
          <w:rFonts w:ascii="Times New Roman" w:hAnsi="Times New Roman" w:cs="Times New Roman"/>
          <w:color w:val="212121"/>
          <w:shd w:val="clear" w:color="auto" w:fill="FFFFFF"/>
        </w:rPr>
        <w:t>. 2014;20(6</w:t>
      </w:r>
      <w:proofErr w:type="gramStart"/>
      <w:r w:rsidR="00C87979" w:rsidRPr="00037E9C">
        <w:rPr>
          <w:rFonts w:ascii="Times New Roman" w:hAnsi="Times New Roman" w:cs="Times New Roman"/>
          <w:color w:val="212121"/>
          <w:shd w:val="clear" w:color="auto" w:fill="FFFFFF"/>
        </w:rPr>
        <w:t>):O</w:t>
      </w:r>
      <w:proofErr w:type="gramEnd"/>
      <w:r w:rsidR="00C87979" w:rsidRPr="00037E9C">
        <w:rPr>
          <w:rFonts w:ascii="Times New Roman" w:hAnsi="Times New Roman" w:cs="Times New Roman"/>
          <w:color w:val="212121"/>
          <w:shd w:val="clear" w:color="auto" w:fill="FFFFFF"/>
        </w:rPr>
        <w:t>384-O389. doi:10.1111/1469-0691.12410</w:t>
      </w:r>
    </w:p>
    <w:p w14:paraId="7C0C3A18" w14:textId="6D4FCBC0"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7.</w:t>
      </w:r>
      <w:r w:rsidR="000529D4" w:rsidRPr="00037E9C">
        <w:rPr>
          <w:rFonts w:ascii="Times New Roman" w:hAnsi="Times New Roman" w:cs="Times New Roman"/>
          <w:color w:val="212121"/>
          <w:shd w:val="clear" w:color="auto" w:fill="FFFFFF"/>
        </w:rPr>
        <w:t xml:space="preserve"> Gomes DM, Smotherman C, Birch A, et al. Comparison of acute kidney injury during treatment with vancomycin in combination with piperacillin-tazobactam or cefepime. </w:t>
      </w:r>
      <w:r w:rsidR="000529D4" w:rsidRPr="00037E9C">
        <w:rPr>
          <w:rFonts w:ascii="Times New Roman" w:hAnsi="Times New Roman" w:cs="Times New Roman"/>
          <w:i/>
          <w:iCs/>
          <w:color w:val="212121"/>
          <w:shd w:val="clear" w:color="auto" w:fill="FFFFFF"/>
        </w:rPr>
        <w:t>Pharmacotherapy</w:t>
      </w:r>
      <w:r w:rsidR="000529D4" w:rsidRPr="00037E9C">
        <w:rPr>
          <w:rFonts w:ascii="Times New Roman" w:hAnsi="Times New Roman" w:cs="Times New Roman"/>
          <w:color w:val="212121"/>
          <w:shd w:val="clear" w:color="auto" w:fill="FFFFFF"/>
        </w:rPr>
        <w:t>. 2014;34(7):662-669. doi:10.1002/phar.1428</w:t>
      </w:r>
    </w:p>
    <w:p w14:paraId="7C1DAC1E" w14:textId="5BBA3210"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8.</w:t>
      </w:r>
      <w:r w:rsidR="000529D4" w:rsidRPr="00037E9C">
        <w:rPr>
          <w:rFonts w:ascii="Times New Roman" w:hAnsi="Times New Roman" w:cs="Times New Roman"/>
          <w:color w:val="212121"/>
          <w:shd w:val="clear" w:color="auto" w:fill="FFFFFF"/>
        </w:rPr>
        <w:t xml:space="preserve"> Burgess LD, Drew RH. Comparison of the incidence of vancomycin-induced nephrotoxicity in hospitalized patients with and without concomitant piperacillin-tazobactam. </w:t>
      </w:r>
      <w:r w:rsidR="000529D4" w:rsidRPr="00037E9C">
        <w:rPr>
          <w:rFonts w:ascii="Times New Roman" w:hAnsi="Times New Roman" w:cs="Times New Roman"/>
          <w:i/>
          <w:iCs/>
          <w:color w:val="212121"/>
          <w:shd w:val="clear" w:color="auto" w:fill="FFFFFF"/>
        </w:rPr>
        <w:t>Pharmacotherapy</w:t>
      </w:r>
      <w:r w:rsidR="000529D4" w:rsidRPr="00037E9C">
        <w:rPr>
          <w:rFonts w:ascii="Times New Roman" w:hAnsi="Times New Roman" w:cs="Times New Roman"/>
          <w:color w:val="212121"/>
          <w:shd w:val="clear" w:color="auto" w:fill="FFFFFF"/>
        </w:rPr>
        <w:t>. 2014;34(7):670-676. doi:10.1002/phar.1442</w:t>
      </w:r>
    </w:p>
    <w:p w14:paraId="1960EF6A" w14:textId="07C5A5BF"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9.</w:t>
      </w:r>
      <w:r w:rsidR="000529D4" w:rsidRPr="00037E9C">
        <w:rPr>
          <w:rFonts w:ascii="Times New Roman" w:hAnsi="Times New Roman" w:cs="Times New Roman"/>
          <w:color w:val="212121"/>
          <w:shd w:val="clear" w:color="auto" w:fill="FFFFFF"/>
        </w:rPr>
        <w:t xml:space="preserve"> </w:t>
      </w:r>
      <w:proofErr w:type="spellStart"/>
      <w:r w:rsidR="000529D4" w:rsidRPr="00037E9C">
        <w:rPr>
          <w:rFonts w:ascii="Times New Roman" w:hAnsi="Times New Roman" w:cs="Times New Roman"/>
          <w:color w:val="212121"/>
          <w:shd w:val="clear" w:color="auto" w:fill="FFFFFF"/>
        </w:rPr>
        <w:t>Navalkele</w:t>
      </w:r>
      <w:proofErr w:type="spellEnd"/>
      <w:r w:rsidR="000529D4" w:rsidRPr="00037E9C">
        <w:rPr>
          <w:rFonts w:ascii="Times New Roman" w:hAnsi="Times New Roman" w:cs="Times New Roman"/>
          <w:color w:val="212121"/>
          <w:shd w:val="clear" w:color="auto" w:fill="FFFFFF"/>
        </w:rPr>
        <w:t xml:space="preserve"> B, Pogue JM, Karino S, et al. Risk of Acute Kidney Injury in Patients on Concomitant Vancomycin and Piperacillin-Tazobactam Compared to Those on Vancomycin and Cefepime. </w:t>
      </w:r>
      <w:r w:rsidR="000529D4" w:rsidRPr="00037E9C">
        <w:rPr>
          <w:rFonts w:ascii="Times New Roman" w:hAnsi="Times New Roman" w:cs="Times New Roman"/>
          <w:i/>
          <w:iCs/>
          <w:color w:val="212121"/>
          <w:shd w:val="clear" w:color="auto" w:fill="FFFFFF"/>
        </w:rPr>
        <w:t>Clin Infect Dis</w:t>
      </w:r>
      <w:r w:rsidR="000529D4" w:rsidRPr="00037E9C">
        <w:rPr>
          <w:rFonts w:ascii="Times New Roman" w:hAnsi="Times New Roman" w:cs="Times New Roman"/>
          <w:color w:val="212121"/>
          <w:shd w:val="clear" w:color="auto" w:fill="FFFFFF"/>
        </w:rPr>
        <w:t>. 2017;64(2):116-123. doi:10.1093/</w:t>
      </w:r>
      <w:proofErr w:type="spellStart"/>
      <w:r w:rsidR="000529D4" w:rsidRPr="00037E9C">
        <w:rPr>
          <w:rFonts w:ascii="Times New Roman" w:hAnsi="Times New Roman" w:cs="Times New Roman"/>
          <w:color w:val="212121"/>
          <w:shd w:val="clear" w:color="auto" w:fill="FFFFFF"/>
        </w:rPr>
        <w:t>cid</w:t>
      </w:r>
      <w:proofErr w:type="spellEnd"/>
      <w:r w:rsidR="000529D4" w:rsidRPr="00037E9C">
        <w:rPr>
          <w:rFonts w:ascii="Times New Roman" w:hAnsi="Times New Roman" w:cs="Times New Roman"/>
          <w:color w:val="212121"/>
          <w:shd w:val="clear" w:color="auto" w:fill="FFFFFF"/>
        </w:rPr>
        <w:t>/ciw709</w:t>
      </w:r>
    </w:p>
    <w:p w14:paraId="36CD7A5E" w14:textId="3BEEE05D"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10.</w:t>
      </w:r>
      <w:r w:rsidR="000529D4" w:rsidRPr="00037E9C">
        <w:rPr>
          <w:rFonts w:ascii="Times New Roman" w:hAnsi="Times New Roman" w:cs="Times New Roman"/>
          <w:color w:val="212121"/>
          <w:shd w:val="clear" w:color="auto" w:fill="FFFFFF"/>
        </w:rPr>
        <w:t xml:space="preserve"> </w:t>
      </w:r>
      <w:proofErr w:type="spellStart"/>
      <w:r w:rsidR="000529D4" w:rsidRPr="00037E9C">
        <w:rPr>
          <w:rFonts w:ascii="Times New Roman" w:hAnsi="Times New Roman" w:cs="Times New Roman"/>
          <w:color w:val="212121"/>
          <w:shd w:val="clear" w:color="auto" w:fill="FFFFFF"/>
        </w:rPr>
        <w:t>Karino</w:t>
      </w:r>
      <w:proofErr w:type="spellEnd"/>
      <w:r w:rsidR="000529D4" w:rsidRPr="00037E9C">
        <w:rPr>
          <w:rFonts w:ascii="Times New Roman" w:hAnsi="Times New Roman" w:cs="Times New Roman"/>
          <w:color w:val="212121"/>
          <w:shd w:val="clear" w:color="auto" w:fill="FFFFFF"/>
        </w:rPr>
        <w:t xml:space="preserve"> S, Kaye KS, </w:t>
      </w:r>
      <w:proofErr w:type="spellStart"/>
      <w:r w:rsidR="000529D4" w:rsidRPr="00037E9C">
        <w:rPr>
          <w:rFonts w:ascii="Times New Roman" w:hAnsi="Times New Roman" w:cs="Times New Roman"/>
          <w:color w:val="212121"/>
          <w:shd w:val="clear" w:color="auto" w:fill="FFFFFF"/>
        </w:rPr>
        <w:t>Navalkele</w:t>
      </w:r>
      <w:proofErr w:type="spellEnd"/>
      <w:r w:rsidR="000529D4" w:rsidRPr="00037E9C">
        <w:rPr>
          <w:rFonts w:ascii="Times New Roman" w:hAnsi="Times New Roman" w:cs="Times New Roman"/>
          <w:color w:val="212121"/>
          <w:shd w:val="clear" w:color="auto" w:fill="FFFFFF"/>
        </w:rPr>
        <w:t xml:space="preserve"> B, et al. Epidemiology of Acute Kidney Injury among Patients Receiving Concomitant Vancomycin and Piperacillin-Tazobactam: Opportunities for Antimicrobial Stewardship. </w:t>
      </w:r>
      <w:proofErr w:type="spellStart"/>
      <w:r w:rsidR="000529D4" w:rsidRPr="00037E9C">
        <w:rPr>
          <w:rFonts w:ascii="Times New Roman" w:hAnsi="Times New Roman" w:cs="Times New Roman"/>
          <w:i/>
          <w:iCs/>
          <w:color w:val="212121"/>
          <w:shd w:val="clear" w:color="auto" w:fill="FFFFFF"/>
        </w:rPr>
        <w:t>Antimicrob</w:t>
      </w:r>
      <w:proofErr w:type="spellEnd"/>
      <w:r w:rsidR="000529D4" w:rsidRPr="00037E9C">
        <w:rPr>
          <w:rFonts w:ascii="Times New Roman" w:hAnsi="Times New Roman" w:cs="Times New Roman"/>
          <w:i/>
          <w:iCs/>
          <w:color w:val="212121"/>
          <w:shd w:val="clear" w:color="auto" w:fill="FFFFFF"/>
        </w:rPr>
        <w:t xml:space="preserve"> Agents </w:t>
      </w:r>
      <w:proofErr w:type="spellStart"/>
      <w:r w:rsidR="000529D4" w:rsidRPr="00037E9C">
        <w:rPr>
          <w:rFonts w:ascii="Times New Roman" w:hAnsi="Times New Roman" w:cs="Times New Roman"/>
          <w:i/>
          <w:iCs/>
          <w:color w:val="212121"/>
          <w:shd w:val="clear" w:color="auto" w:fill="FFFFFF"/>
        </w:rPr>
        <w:t>Chemother</w:t>
      </w:r>
      <w:proofErr w:type="spellEnd"/>
      <w:r w:rsidR="000529D4" w:rsidRPr="00037E9C">
        <w:rPr>
          <w:rFonts w:ascii="Times New Roman" w:hAnsi="Times New Roman" w:cs="Times New Roman"/>
          <w:color w:val="212121"/>
          <w:shd w:val="clear" w:color="auto" w:fill="FFFFFF"/>
        </w:rPr>
        <w:t>. 2016;60(6):3743-3750. Published 2016 May 23. doi:10.1128/AAC.03011-15</w:t>
      </w:r>
    </w:p>
    <w:p w14:paraId="03DC3F38" w14:textId="74D23141"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36062F">
        <w:rPr>
          <w:rFonts w:ascii="Times New Roman" w:hAnsi="Times New Roman" w:cs="Times New Roman"/>
          <w:color w:val="212121"/>
          <w:shd w:val="clear" w:color="auto" w:fill="FFFFFF"/>
        </w:rPr>
        <w:t>11.</w:t>
      </w:r>
      <w:r w:rsidR="00C87979" w:rsidRPr="0036062F">
        <w:rPr>
          <w:rFonts w:ascii="Times New Roman" w:hAnsi="Times New Roman" w:cs="Times New Roman"/>
          <w:color w:val="212121"/>
          <w:shd w:val="clear" w:color="auto" w:fill="FFFFFF"/>
        </w:rPr>
        <w:t xml:space="preserve"> </w:t>
      </w:r>
      <w:r w:rsidR="000529D4" w:rsidRPr="0036062F">
        <w:rPr>
          <w:rFonts w:ascii="Times New Roman" w:hAnsi="Times New Roman" w:cs="Times New Roman"/>
          <w:color w:val="212121"/>
          <w:shd w:val="clear" w:color="auto" w:fill="FFFFFF"/>
        </w:rPr>
        <w:t xml:space="preserve">Lodise TP, Lomaestro B, Graves J, Drusano GL. </w:t>
      </w:r>
      <w:r w:rsidR="000529D4" w:rsidRPr="00037E9C">
        <w:rPr>
          <w:rFonts w:ascii="Times New Roman" w:hAnsi="Times New Roman" w:cs="Times New Roman"/>
          <w:color w:val="212121"/>
          <w:shd w:val="clear" w:color="auto" w:fill="FFFFFF"/>
        </w:rPr>
        <w:t>Larger vancomycin doses (at least four grams per day) are associated with an increased incidence of nephrotoxicity. </w:t>
      </w:r>
      <w:proofErr w:type="spellStart"/>
      <w:r w:rsidR="000529D4" w:rsidRPr="00037E9C">
        <w:rPr>
          <w:rFonts w:ascii="Times New Roman" w:hAnsi="Times New Roman" w:cs="Times New Roman"/>
          <w:i/>
          <w:iCs/>
          <w:color w:val="212121"/>
          <w:shd w:val="clear" w:color="auto" w:fill="FFFFFF"/>
        </w:rPr>
        <w:t>Antimicrob</w:t>
      </w:r>
      <w:proofErr w:type="spellEnd"/>
      <w:r w:rsidR="000529D4" w:rsidRPr="00037E9C">
        <w:rPr>
          <w:rFonts w:ascii="Times New Roman" w:hAnsi="Times New Roman" w:cs="Times New Roman"/>
          <w:i/>
          <w:iCs/>
          <w:color w:val="212121"/>
          <w:shd w:val="clear" w:color="auto" w:fill="FFFFFF"/>
        </w:rPr>
        <w:t xml:space="preserve"> Agents </w:t>
      </w:r>
      <w:proofErr w:type="spellStart"/>
      <w:r w:rsidR="000529D4" w:rsidRPr="00037E9C">
        <w:rPr>
          <w:rFonts w:ascii="Times New Roman" w:hAnsi="Times New Roman" w:cs="Times New Roman"/>
          <w:i/>
          <w:iCs/>
          <w:color w:val="212121"/>
          <w:shd w:val="clear" w:color="auto" w:fill="FFFFFF"/>
        </w:rPr>
        <w:t>Chemother</w:t>
      </w:r>
      <w:proofErr w:type="spellEnd"/>
      <w:r w:rsidR="000529D4" w:rsidRPr="00037E9C">
        <w:rPr>
          <w:rFonts w:ascii="Times New Roman" w:hAnsi="Times New Roman" w:cs="Times New Roman"/>
          <w:color w:val="212121"/>
          <w:shd w:val="clear" w:color="auto" w:fill="FFFFFF"/>
        </w:rPr>
        <w:t>. 2008;52(4):1330-1336. doi:10.1128/AAC.01602-07</w:t>
      </w:r>
    </w:p>
    <w:p w14:paraId="3371FD5E" w14:textId="486A68FB"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12.</w:t>
      </w:r>
      <w:r w:rsidR="000529D4" w:rsidRPr="00037E9C">
        <w:rPr>
          <w:rFonts w:ascii="Times New Roman" w:hAnsi="Times New Roman" w:cs="Times New Roman"/>
          <w:color w:val="212121"/>
          <w:shd w:val="clear" w:color="auto" w:fill="FFFFFF"/>
        </w:rPr>
        <w:t xml:space="preserve"> </w:t>
      </w:r>
      <w:proofErr w:type="spellStart"/>
      <w:r w:rsidR="000529D4" w:rsidRPr="00037E9C">
        <w:rPr>
          <w:rFonts w:ascii="Times New Roman" w:hAnsi="Times New Roman" w:cs="Times New Roman"/>
          <w:color w:val="212121"/>
          <w:shd w:val="clear" w:color="auto" w:fill="FFFFFF"/>
        </w:rPr>
        <w:t>Minejima</w:t>
      </w:r>
      <w:proofErr w:type="spellEnd"/>
      <w:r w:rsidR="000529D4" w:rsidRPr="00037E9C">
        <w:rPr>
          <w:rFonts w:ascii="Times New Roman" w:hAnsi="Times New Roman" w:cs="Times New Roman"/>
          <w:color w:val="212121"/>
          <w:shd w:val="clear" w:color="auto" w:fill="FFFFFF"/>
        </w:rPr>
        <w:t xml:space="preserve"> E, Choi J, Beringer P, Lou M, Tse E, Wong-Beringer A. Applying new diagnostic criteria for acute kidney injury to facilitate early identification of nephrotoxicity in vancomycin-treated patients. </w:t>
      </w:r>
      <w:proofErr w:type="spellStart"/>
      <w:r w:rsidR="000529D4" w:rsidRPr="00037E9C">
        <w:rPr>
          <w:rFonts w:ascii="Times New Roman" w:hAnsi="Times New Roman" w:cs="Times New Roman"/>
          <w:i/>
          <w:iCs/>
          <w:color w:val="212121"/>
          <w:shd w:val="clear" w:color="auto" w:fill="FFFFFF"/>
        </w:rPr>
        <w:t>Antimicrob</w:t>
      </w:r>
      <w:proofErr w:type="spellEnd"/>
      <w:r w:rsidR="000529D4" w:rsidRPr="00037E9C">
        <w:rPr>
          <w:rFonts w:ascii="Times New Roman" w:hAnsi="Times New Roman" w:cs="Times New Roman"/>
          <w:i/>
          <w:iCs/>
          <w:color w:val="212121"/>
          <w:shd w:val="clear" w:color="auto" w:fill="FFFFFF"/>
        </w:rPr>
        <w:t xml:space="preserve"> Agents </w:t>
      </w:r>
      <w:proofErr w:type="spellStart"/>
      <w:r w:rsidR="000529D4" w:rsidRPr="00037E9C">
        <w:rPr>
          <w:rFonts w:ascii="Times New Roman" w:hAnsi="Times New Roman" w:cs="Times New Roman"/>
          <w:i/>
          <w:iCs/>
          <w:color w:val="212121"/>
          <w:shd w:val="clear" w:color="auto" w:fill="FFFFFF"/>
        </w:rPr>
        <w:t>Chemother</w:t>
      </w:r>
      <w:proofErr w:type="spellEnd"/>
      <w:r w:rsidR="000529D4" w:rsidRPr="00037E9C">
        <w:rPr>
          <w:rFonts w:ascii="Times New Roman" w:hAnsi="Times New Roman" w:cs="Times New Roman"/>
          <w:color w:val="212121"/>
          <w:shd w:val="clear" w:color="auto" w:fill="FFFFFF"/>
        </w:rPr>
        <w:t>. 2011;55(7):3278-3283. doi:10.1128/AAC.00173-11</w:t>
      </w:r>
    </w:p>
    <w:p w14:paraId="3711D791" w14:textId="7C973864"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lang w:val="es-ES"/>
        </w:rPr>
        <w:lastRenderedPageBreak/>
        <w:t>13.</w:t>
      </w:r>
      <w:r w:rsidR="000529D4" w:rsidRPr="00037E9C">
        <w:rPr>
          <w:rFonts w:ascii="Times New Roman" w:hAnsi="Times New Roman" w:cs="Times New Roman"/>
          <w:color w:val="212121"/>
          <w:shd w:val="clear" w:color="auto" w:fill="FFFFFF"/>
          <w:lang w:val="es-ES"/>
        </w:rPr>
        <w:t xml:space="preserve"> Cano EL, Haque NZ, Welch VL, et al. </w:t>
      </w:r>
      <w:r w:rsidR="000529D4" w:rsidRPr="00037E9C">
        <w:rPr>
          <w:rFonts w:ascii="Times New Roman" w:hAnsi="Times New Roman" w:cs="Times New Roman"/>
          <w:color w:val="212121"/>
          <w:shd w:val="clear" w:color="auto" w:fill="FFFFFF"/>
        </w:rPr>
        <w:t>Incidence of nephrotoxicity and association with vancomycin use in intensive care unit patients with pneumonia: retrospective analysis of the IMPACT-HAP Database. </w:t>
      </w:r>
      <w:r w:rsidR="000529D4" w:rsidRPr="00037E9C">
        <w:rPr>
          <w:rFonts w:ascii="Times New Roman" w:hAnsi="Times New Roman" w:cs="Times New Roman"/>
          <w:i/>
          <w:iCs/>
          <w:color w:val="212121"/>
          <w:shd w:val="clear" w:color="auto" w:fill="FFFFFF"/>
        </w:rPr>
        <w:t>Clin Ther</w:t>
      </w:r>
      <w:r w:rsidR="000529D4" w:rsidRPr="00037E9C">
        <w:rPr>
          <w:rFonts w:ascii="Times New Roman" w:hAnsi="Times New Roman" w:cs="Times New Roman"/>
          <w:color w:val="212121"/>
          <w:shd w:val="clear" w:color="auto" w:fill="FFFFFF"/>
        </w:rPr>
        <w:t xml:space="preserve">. 2012;34(1):149-157. </w:t>
      </w:r>
      <w:proofErr w:type="gramStart"/>
      <w:r w:rsidR="000529D4" w:rsidRPr="00037E9C">
        <w:rPr>
          <w:rFonts w:ascii="Times New Roman" w:hAnsi="Times New Roman" w:cs="Times New Roman"/>
          <w:color w:val="212121"/>
          <w:shd w:val="clear" w:color="auto" w:fill="FFFFFF"/>
        </w:rPr>
        <w:t>doi:10.1016/j.clinthera</w:t>
      </w:r>
      <w:proofErr w:type="gramEnd"/>
      <w:r w:rsidR="000529D4" w:rsidRPr="00037E9C">
        <w:rPr>
          <w:rFonts w:ascii="Times New Roman" w:hAnsi="Times New Roman" w:cs="Times New Roman"/>
          <w:color w:val="212121"/>
          <w:shd w:val="clear" w:color="auto" w:fill="FFFFFF"/>
        </w:rPr>
        <w:t>.2011.12.013</w:t>
      </w:r>
    </w:p>
    <w:p w14:paraId="4287960A" w14:textId="5A791A92"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14.</w:t>
      </w:r>
      <w:r w:rsidR="000529D4" w:rsidRPr="00037E9C">
        <w:rPr>
          <w:rFonts w:ascii="Times New Roman" w:hAnsi="Times New Roman" w:cs="Times New Roman"/>
          <w:color w:val="212121"/>
          <w:shd w:val="clear" w:color="auto" w:fill="FFFFFF"/>
        </w:rPr>
        <w:t xml:space="preserve"> Vance-Bryan K, </w:t>
      </w:r>
      <w:proofErr w:type="spellStart"/>
      <w:r w:rsidR="000529D4" w:rsidRPr="00037E9C">
        <w:rPr>
          <w:rFonts w:ascii="Times New Roman" w:hAnsi="Times New Roman" w:cs="Times New Roman"/>
          <w:color w:val="212121"/>
          <w:shd w:val="clear" w:color="auto" w:fill="FFFFFF"/>
        </w:rPr>
        <w:t>Rotschafer</w:t>
      </w:r>
      <w:proofErr w:type="spellEnd"/>
      <w:r w:rsidR="000529D4" w:rsidRPr="00037E9C">
        <w:rPr>
          <w:rFonts w:ascii="Times New Roman" w:hAnsi="Times New Roman" w:cs="Times New Roman"/>
          <w:color w:val="212121"/>
          <w:shd w:val="clear" w:color="auto" w:fill="FFFFFF"/>
        </w:rPr>
        <w:t xml:space="preserve"> JC, Gilliland SS, Rodvold KA, Fitzgerald CM, Guay DR. A comparative assessment of vancomycin-associated nephrotoxicity in the young versus the elderly hospitalized patient. </w:t>
      </w:r>
      <w:r w:rsidR="000529D4" w:rsidRPr="00037E9C">
        <w:rPr>
          <w:rFonts w:ascii="Times New Roman" w:hAnsi="Times New Roman" w:cs="Times New Roman"/>
          <w:i/>
          <w:iCs/>
          <w:color w:val="212121"/>
          <w:shd w:val="clear" w:color="auto" w:fill="FFFFFF"/>
        </w:rPr>
        <w:t xml:space="preserve">J </w:t>
      </w:r>
      <w:proofErr w:type="spellStart"/>
      <w:r w:rsidR="000529D4" w:rsidRPr="00037E9C">
        <w:rPr>
          <w:rFonts w:ascii="Times New Roman" w:hAnsi="Times New Roman" w:cs="Times New Roman"/>
          <w:i/>
          <w:iCs/>
          <w:color w:val="212121"/>
          <w:shd w:val="clear" w:color="auto" w:fill="FFFFFF"/>
        </w:rPr>
        <w:t>Antimicrob</w:t>
      </w:r>
      <w:proofErr w:type="spellEnd"/>
      <w:r w:rsidR="000529D4" w:rsidRPr="00037E9C">
        <w:rPr>
          <w:rFonts w:ascii="Times New Roman" w:hAnsi="Times New Roman" w:cs="Times New Roman"/>
          <w:i/>
          <w:iCs/>
          <w:color w:val="212121"/>
          <w:shd w:val="clear" w:color="auto" w:fill="FFFFFF"/>
        </w:rPr>
        <w:t xml:space="preserve"> Chemother</w:t>
      </w:r>
      <w:r w:rsidR="000529D4" w:rsidRPr="00037E9C">
        <w:rPr>
          <w:rFonts w:ascii="Times New Roman" w:hAnsi="Times New Roman" w:cs="Times New Roman"/>
          <w:color w:val="212121"/>
          <w:shd w:val="clear" w:color="auto" w:fill="FFFFFF"/>
        </w:rPr>
        <w:t>. 1994;33(4):811-821. doi:10.1093/</w:t>
      </w:r>
      <w:proofErr w:type="spellStart"/>
      <w:r w:rsidR="000529D4" w:rsidRPr="00037E9C">
        <w:rPr>
          <w:rFonts w:ascii="Times New Roman" w:hAnsi="Times New Roman" w:cs="Times New Roman"/>
          <w:color w:val="212121"/>
          <w:shd w:val="clear" w:color="auto" w:fill="FFFFFF"/>
        </w:rPr>
        <w:t>jac</w:t>
      </w:r>
      <w:proofErr w:type="spellEnd"/>
      <w:r w:rsidR="000529D4" w:rsidRPr="00037E9C">
        <w:rPr>
          <w:rFonts w:ascii="Times New Roman" w:hAnsi="Times New Roman" w:cs="Times New Roman"/>
          <w:color w:val="212121"/>
          <w:shd w:val="clear" w:color="auto" w:fill="FFFFFF"/>
        </w:rPr>
        <w:t>/33.4.811</w:t>
      </w:r>
    </w:p>
    <w:p w14:paraId="6693D898" w14:textId="750BACC7"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15.</w:t>
      </w:r>
      <w:r w:rsidR="000529D4" w:rsidRPr="00037E9C">
        <w:rPr>
          <w:rFonts w:ascii="Times New Roman" w:hAnsi="Times New Roman" w:cs="Times New Roman"/>
          <w:color w:val="212121"/>
          <w:shd w:val="clear" w:color="auto" w:fill="FFFFFF"/>
        </w:rPr>
        <w:t xml:space="preserve"> Jeffres MN, </w:t>
      </w:r>
      <w:proofErr w:type="spellStart"/>
      <w:r w:rsidR="000529D4" w:rsidRPr="00037E9C">
        <w:rPr>
          <w:rFonts w:ascii="Times New Roman" w:hAnsi="Times New Roman" w:cs="Times New Roman"/>
          <w:color w:val="212121"/>
          <w:shd w:val="clear" w:color="auto" w:fill="FFFFFF"/>
        </w:rPr>
        <w:t>Isakow</w:t>
      </w:r>
      <w:proofErr w:type="spellEnd"/>
      <w:r w:rsidR="000529D4" w:rsidRPr="00037E9C">
        <w:rPr>
          <w:rFonts w:ascii="Times New Roman" w:hAnsi="Times New Roman" w:cs="Times New Roman"/>
          <w:color w:val="212121"/>
          <w:shd w:val="clear" w:color="auto" w:fill="FFFFFF"/>
        </w:rPr>
        <w:t xml:space="preserve"> W, Doherty JA, Micek ST, </w:t>
      </w:r>
      <w:proofErr w:type="spellStart"/>
      <w:r w:rsidR="000529D4" w:rsidRPr="00037E9C">
        <w:rPr>
          <w:rFonts w:ascii="Times New Roman" w:hAnsi="Times New Roman" w:cs="Times New Roman"/>
          <w:color w:val="212121"/>
          <w:shd w:val="clear" w:color="auto" w:fill="FFFFFF"/>
        </w:rPr>
        <w:t>Kollef</w:t>
      </w:r>
      <w:proofErr w:type="spellEnd"/>
      <w:r w:rsidR="000529D4" w:rsidRPr="00037E9C">
        <w:rPr>
          <w:rFonts w:ascii="Times New Roman" w:hAnsi="Times New Roman" w:cs="Times New Roman"/>
          <w:color w:val="212121"/>
          <w:shd w:val="clear" w:color="auto" w:fill="FFFFFF"/>
        </w:rPr>
        <w:t xml:space="preserve"> MH. A retrospective analysis of possible renal toxicity associated with vancomycin in patients with health care-associated methicillin-resistant Staphylococcus aureus pneumonia. </w:t>
      </w:r>
      <w:r w:rsidR="000529D4" w:rsidRPr="00037E9C">
        <w:rPr>
          <w:rFonts w:ascii="Times New Roman" w:hAnsi="Times New Roman" w:cs="Times New Roman"/>
          <w:i/>
          <w:iCs/>
          <w:color w:val="212121"/>
          <w:shd w:val="clear" w:color="auto" w:fill="FFFFFF"/>
        </w:rPr>
        <w:t>Clin Ther</w:t>
      </w:r>
      <w:r w:rsidR="000529D4" w:rsidRPr="00037E9C">
        <w:rPr>
          <w:rFonts w:ascii="Times New Roman" w:hAnsi="Times New Roman" w:cs="Times New Roman"/>
          <w:color w:val="212121"/>
          <w:shd w:val="clear" w:color="auto" w:fill="FFFFFF"/>
        </w:rPr>
        <w:t xml:space="preserve">. 2007;29(6):1107-1115. </w:t>
      </w:r>
      <w:proofErr w:type="gramStart"/>
      <w:r w:rsidR="000529D4" w:rsidRPr="00037E9C">
        <w:rPr>
          <w:rFonts w:ascii="Times New Roman" w:hAnsi="Times New Roman" w:cs="Times New Roman"/>
          <w:color w:val="212121"/>
          <w:shd w:val="clear" w:color="auto" w:fill="FFFFFF"/>
        </w:rPr>
        <w:t>doi:10.1016/j.clinthera</w:t>
      </w:r>
      <w:proofErr w:type="gramEnd"/>
      <w:r w:rsidR="000529D4" w:rsidRPr="00037E9C">
        <w:rPr>
          <w:rFonts w:ascii="Times New Roman" w:hAnsi="Times New Roman" w:cs="Times New Roman"/>
          <w:color w:val="212121"/>
          <w:shd w:val="clear" w:color="auto" w:fill="FFFFFF"/>
        </w:rPr>
        <w:t>.2007.06.014</w:t>
      </w:r>
    </w:p>
    <w:p w14:paraId="3D2328F7" w14:textId="10EC90CA" w:rsidR="008943A8"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16.</w:t>
      </w:r>
      <w:r w:rsidR="000529D4" w:rsidRPr="00037E9C">
        <w:rPr>
          <w:rFonts w:ascii="Times New Roman" w:hAnsi="Times New Roman" w:cs="Times New Roman"/>
          <w:color w:val="212121"/>
          <w:shd w:val="clear" w:color="auto" w:fill="FFFFFF"/>
        </w:rPr>
        <w:t xml:space="preserve"> Fullmer A, McCue D, Feng C. Retrospective review of vancomycin-induced nephrotoxicity in patients with leukemia. </w:t>
      </w:r>
      <w:r w:rsidR="000529D4" w:rsidRPr="00037E9C">
        <w:rPr>
          <w:rFonts w:ascii="Times New Roman" w:hAnsi="Times New Roman" w:cs="Times New Roman"/>
          <w:i/>
          <w:iCs/>
          <w:color w:val="212121"/>
          <w:shd w:val="clear" w:color="auto" w:fill="FFFFFF"/>
        </w:rPr>
        <w:t xml:space="preserve">J Oncol Pharm </w:t>
      </w:r>
      <w:proofErr w:type="spellStart"/>
      <w:r w:rsidR="000529D4" w:rsidRPr="00037E9C">
        <w:rPr>
          <w:rFonts w:ascii="Times New Roman" w:hAnsi="Times New Roman" w:cs="Times New Roman"/>
          <w:i/>
          <w:iCs/>
          <w:color w:val="212121"/>
          <w:shd w:val="clear" w:color="auto" w:fill="FFFFFF"/>
        </w:rPr>
        <w:t>Pract</w:t>
      </w:r>
      <w:proofErr w:type="spellEnd"/>
      <w:r w:rsidR="000529D4" w:rsidRPr="00037E9C">
        <w:rPr>
          <w:rFonts w:ascii="Times New Roman" w:hAnsi="Times New Roman" w:cs="Times New Roman"/>
          <w:color w:val="212121"/>
          <w:shd w:val="clear" w:color="auto" w:fill="FFFFFF"/>
        </w:rPr>
        <w:t>. 2014;20(6):403-408. doi:10.1177/1078155213509847</w:t>
      </w:r>
    </w:p>
    <w:p w14:paraId="55EC7EE9" w14:textId="336F91BC" w:rsidR="00395146" w:rsidRPr="00037E9C" w:rsidRDefault="007740D7" w:rsidP="00EC22CC">
      <w:pPr>
        <w:spacing w:before="100" w:beforeAutospacing="1" w:after="100" w:afterAutospacing="1" w:line="240" w:lineRule="auto"/>
        <w:rPr>
          <w:rFonts w:ascii="Times New Roman" w:eastAsia="Times New Roman" w:hAnsi="Times New Roman" w:cs="Times New Roman"/>
          <w:b/>
          <w:bCs/>
          <w:kern w:val="0"/>
          <w14:ligatures w14:val="none"/>
        </w:rPr>
      </w:pPr>
      <w:r w:rsidRPr="00037E9C">
        <w:rPr>
          <w:rFonts w:ascii="Times New Roman" w:hAnsi="Times New Roman" w:cs="Times New Roman"/>
          <w:color w:val="212121"/>
          <w:shd w:val="clear" w:color="auto" w:fill="FFFFFF"/>
          <w:lang w:val="fr-FR"/>
        </w:rPr>
        <w:t>17.</w:t>
      </w:r>
      <w:r w:rsidR="00EC22CC" w:rsidRPr="00037E9C">
        <w:rPr>
          <w:rFonts w:ascii="Times New Roman" w:hAnsi="Times New Roman" w:cs="Times New Roman"/>
          <w:color w:val="212121"/>
          <w:shd w:val="clear" w:color="auto" w:fill="FFFFFF"/>
          <w:lang w:val="fr-FR"/>
        </w:rPr>
        <w:t xml:space="preserve"> </w:t>
      </w:r>
      <w:r w:rsidR="00395146" w:rsidRPr="00037E9C">
        <w:rPr>
          <w:rFonts w:ascii="Times New Roman" w:hAnsi="Times New Roman" w:cs="Times New Roman"/>
          <w:color w:val="212121"/>
          <w:shd w:val="clear" w:color="auto" w:fill="FFFFFF"/>
          <w:lang w:val="fr-FR"/>
        </w:rPr>
        <w:t xml:space="preserve">Rybak MJ, Le J, Lodise TP, et al. </w:t>
      </w:r>
      <w:r w:rsidR="00395146" w:rsidRPr="00037E9C">
        <w:rPr>
          <w:rFonts w:ascii="Times New Roman" w:hAnsi="Times New Roman" w:cs="Times New Roman"/>
          <w:color w:val="212121"/>
          <w:shd w:val="clear" w:color="auto" w:fill="FFFFFF"/>
        </w:rPr>
        <w:t>Therapeutic monitoring of vancomycin for serious methicillin-resistant Staphylococcus aureus infections: A revised consensus guideline and review by the American Society of Health-System Pharmacists, the Infectious Diseases Society of America, the Pediatric Infectious Diseases Society, and the Society of Infectious Diseases Pharmacists. </w:t>
      </w:r>
      <w:proofErr w:type="gramStart"/>
      <w:r w:rsidR="00395146" w:rsidRPr="00037E9C">
        <w:rPr>
          <w:rFonts w:ascii="Times New Roman" w:hAnsi="Times New Roman" w:cs="Times New Roman"/>
          <w:i/>
          <w:iCs/>
          <w:color w:val="212121"/>
          <w:shd w:val="clear" w:color="auto" w:fill="FFFFFF"/>
        </w:rPr>
        <w:t>Am</w:t>
      </w:r>
      <w:proofErr w:type="gramEnd"/>
      <w:r w:rsidR="00395146" w:rsidRPr="00037E9C">
        <w:rPr>
          <w:rFonts w:ascii="Times New Roman" w:hAnsi="Times New Roman" w:cs="Times New Roman"/>
          <w:i/>
          <w:iCs/>
          <w:color w:val="212121"/>
          <w:shd w:val="clear" w:color="auto" w:fill="FFFFFF"/>
        </w:rPr>
        <w:t xml:space="preserve"> J Health Syst Pharm</w:t>
      </w:r>
      <w:r w:rsidR="00395146" w:rsidRPr="00037E9C">
        <w:rPr>
          <w:rFonts w:ascii="Times New Roman" w:hAnsi="Times New Roman" w:cs="Times New Roman"/>
          <w:color w:val="212121"/>
          <w:shd w:val="clear" w:color="auto" w:fill="FFFFFF"/>
        </w:rPr>
        <w:t>. 2020;77(11):835-864. doi:10.1093/</w:t>
      </w:r>
      <w:proofErr w:type="spellStart"/>
      <w:r w:rsidR="00395146" w:rsidRPr="00037E9C">
        <w:rPr>
          <w:rFonts w:ascii="Times New Roman" w:hAnsi="Times New Roman" w:cs="Times New Roman"/>
          <w:color w:val="212121"/>
          <w:shd w:val="clear" w:color="auto" w:fill="FFFFFF"/>
        </w:rPr>
        <w:t>ajhp</w:t>
      </w:r>
      <w:proofErr w:type="spellEnd"/>
      <w:r w:rsidR="00395146" w:rsidRPr="00037E9C">
        <w:rPr>
          <w:rFonts w:ascii="Times New Roman" w:hAnsi="Times New Roman" w:cs="Times New Roman"/>
          <w:color w:val="212121"/>
          <w:shd w:val="clear" w:color="auto" w:fill="FFFFFF"/>
        </w:rPr>
        <w:t>/zxaa036</w:t>
      </w:r>
    </w:p>
    <w:p w14:paraId="3A54A3C6" w14:textId="7B9AC464" w:rsidR="00395146" w:rsidRPr="00037E9C" w:rsidRDefault="007740D7" w:rsidP="00395146">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18</w:t>
      </w:r>
      <w:r w:rsidR="00EC22CC" w:rsidRPr="00037E9C">
        <w:rPr>
          <w:rFonts w:ascii="Times New Roman" w:hAnsi="Times New Roman" w:cs="Times New Roman"/>
          <w:color w:val="212121"/>
          <w:shd w:val="clear" w:color="auto" w:fill="FFFFFF"/>
        </w:rPr>
        <w:t xml:space="preserve">. </w:t>
      </w:r>
      <w:proofErr w:type="spellStart"/>
      <w:r w:rsidR="00395146" w:rsidRPr="00037E9C">
        <w:rPr>
          <w:rFonts w:ascii="Times New Roman" w:hAnsi="Times New Roman" w:cs="Times New Roman"/>
          <w:color w:val="212121"/>
          <w:shd w:val="clear" w:color="auto" w:fill="FFFFFF"/>
        </w:rPr>
        <w:t>Goti</w:t>
      </w:r>
      <w:proofErr w:type="spellEnd"/>
      <w:r w:rsidR="00395146" w:rsidRPr="00037E9C">
        <w:rPr>
          <w:rFonts w:ascii="Times New Roman" w:hAnsi="Times New Roman" w:cs="Times New Roman"/>
          <w:color w:val="212121"/>
          <w:shd w:val="clear" w:color="auto" w:fill="FFFFFF"/>
        </w:rPr>
        <w:t xml:space="preserve"> V, </w:t>
      </w:r>
      <w:proofErr w:type="spellStart"/>
      <w:r w:rsidR="00395146" w:rsidRPr="00037E9C">
        <w:rPr>
          <w:rFonts w:ascii="Times New Roman" w:hAnsi="Times New Roman" w:cs="Times New Roman"/>
          <w:color w:val="212121"/>
          <w:shd w:val="clear" w:color="auto" w:fill="FFFFFF"/>
        </w:rPr>
        <w:t>Chaturvedula</w:t>
      </w:r>
      <w:proofErr w:type="spellEnd"/>
      <w:r w:rsidR="00395146" w:rsidRPr="00037E9C">
        <w:rPr>
          <w:rFonts w:ascii="Times New Roman" w:hAnsi="Times New Roman" w:cs="Times New Roman"/>
          <w:color w:val="212121"/>
          <w:shd w:val="clear" w:color="auto" w:fill="FFFFFF"/>
        </w:rPr>
        <w:t xml:space="preserve"> A, Fossler MJ, Mok S, Jacob JT. Hospitalized Patients </w:t>
      </w:r>
      <w:proofErr w:type="gramStart"/>
      <w:r w:rsidR="00395146" w:rsidRPr="00037E9C">
        <w:rPr>
          <w:rFonts w:ascii="Times New Roman" w:hAnsi="Times New Roman" w:cs="Times New Roman"/>
          <w:color w:val="212121"/>
          <w:shd w:val="clear" w:color="auto" w:fill="FFFFFF"/>
        </w:rPr>
        <w:t>With</w:t>
      </w:r>
      <w:proofErr w:type="gramEnd"/>
      <w:r w:rsidR="00395146" w:rsidRPr="00037E9C">
        <w:rPr>
          <w:rFonts w:ascii="Times New Roman" w:hAnsi="Times New Roman" w:cs="Times New Roman"/>
          <w:color w:val="212121"/>
          <w:shd w:val="clear" w:color="auto" w:fill="FFFFFF"/>
        </w:rPr>
        <w:t xml:space="preserve"> and Without Hemodialysis Have Markedly Different Vancomycin Pharmacokinetics: A Population Pharmacokinetic Model-Based Analysis. </w:t>
      </w:r>
      <w:r w:rsidR="00395146" w:rsidRPr="00037E9C">
        <w:rPr>
          <w:rFonts w:ascii="Times New Roman" w:hAnsi="Times New Roman" w:cs="Times New Roman"/>
          <w:i/>
          <w:iCs/>
          <w:color w:val="212121"/>
          <w:shd w:val="clear" w:color="auto" w:fill="FFFFFF"/>
        </w:rPr>
        <w:t>Ther Drug Monit</w:t>
      </w:r>
      <w:r w:rsidR="00395146" w:rsidRPr="00037E9C">
        <w:rPr>
          <w:rFonts w:ascii="Times New Roman" w:hAnsi="Times New Roman" w:cs="Times New Roman"/>
          <w:color w:val="212121"/>
          <w:shd w:val="clear" w:color="auto" w:fill="FFFFFF"/>
        </w:rPr>
        <w:t>. 2018;40(2):212-221. doi:10.1097/FTD.0000000000000490</w:t>
      </w:r>
    </w:p>
    <w:p w14:paraId="746ADD20" w14:textId="03437B03" w:rsidR="00395146" w:rsidRPr="00037E9C" w:rsidRDefault="007740D7" w:rsidP="00395146">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19</w:t>
      </w:r>
      <w:r w:rsidR="00EC22CC" w:rsidRPr="00037E9C">
        <w:rPr>
          <w:rFonts w:ascii="Times New Roman" w:hAnsi="Times New Roman" w:cs="Times New Roman"/>
          <w:color w:val="212121"/>
          <w:shd w:val="clear" w:color="auto" w:fill="FFFFFF"/>
        </w:rPr>
        <w:t xml:space="preserve">. </w:t>
      </w:r>
      <w:r w:rsidR="00395146" w:rsidRPr="00037E9C">
        <w:rPr>
          <w:rFonts w:ascii="Times New Roman" w:hAnsi="Times New Roman" w:cs="Times New Roman"/>
          <w:color w:val="212121"/>
          <w:shd w:val="clear" w:color="auto" w:fill="FFFFFF"/>
        </w:rPr>
        <w:t xml:space="preserve">Broeker A, Nardecchia M, Klinker KP, et al. Towards precision dosing of vancomycin: a systematic evaluation of </w:t>
      </w:r>
      <w:proofErr w:type="spellStart"/>
      <w:r w:rsidR="00395146" w:rsidRPr="00037E9C">
        <w:rPr>
          <w:rFonts w:ascii="Times New Roman" w:hAnsi="Times New Roman" w:cs="Times New Roman"/>
          <w:color w:val="212121"/>
          <w:shd w:val="clear" w:color="auto" w:fill="FFFFFF"/>
        </w:rPr>
        <w:t>pharmacometric</w:t>
      </w:r>
      <w:proofErr w:type="spellEnd"/>
      <w:r w:rsidR="00395146" w:rsidRPr="00037E9C">
        <w:rPr>
          <w:rFonts w:ascii="Times New Roman" w:hAnsi="Times New Roman" w:cs="Times New Roman"/>
          <w:color w:val="212121"/>
          <w:shd w:val="clear" w:color="auto" w:fill="FFFFFF"/>
        </w:rPr>
        <w:t xml:space="preserve"> models for Bayesian forecasting. </w:t>
      </w:r>
      <w:r w:rsidR="00395146" w:rsidRPr="00037E9C">
        <w:rPr>
          <w:rFonts w:ascii="Times New Roman" w:hAnsi="Times New Roman" w:cs="Times New Roman"/>
          <w:i/>
          <w:iCs/>
          <w:color w:val="212121"/>
          <w:shd w:val="clear" w:color="auto" w:fill="FFFFFF"/>
        </w:rPr>
        <w:t xml:space="preserve">Clin </w:t>
      </w:r>
      <w:proofErr w:type="spellStart"/>
      <w:r w:rsidR="00395146" w:rsidRPr="00037E9C">
        <w:rPr>
          <w:rFonts w:ascii="Times New Roman" w:hAnsi="Times New Roman" w:cs="Times New Roman"/>
          <w:i/>
          <w:iCs/>
          <w:color w:val="212121"/>
          <w:shd w:val="clear" w:color="auto" w:fill="FFFFFF"/>
        </w:rPr>
        <w:t>Microbiol</w:t>
      </w:r>
      <w:proofErr w:type="spellEnd"/>
      <w:r w:rsidR="00395146" w:rsidRPr="00037E9C">
        <w:rPr>
          <w:rFonts w:ascii="Times New Roman" w:hAnsi="Times New Roman" w:cs="Times New Roman"/>
          <w:i/>
          <w:iCs/>
          <w:color w:val="212121"/>
          <w:shd w:val="clear" w:color="auto" w:fill="FFFFFF"/>
        </w:rPr>
        <w:t xml:space="preserve"> Infect</w:t>
      </w:r>
      <w:r w:rsidR="00395146" w:rsidRPr="00037E9C">
        <w:rPr>
          <w:rFonts w:ascii="Times New Roman" w:hAnsi="Times New Roman" w:cs="Times New Roman"/>
          <w:color w:val="212121"/>
          <w:shd w:val="clear" w:color="auto" w:fill="FFFFFF"/>
        </w:rPr>
        <w:t>. 2019;25(10</w:t>
      </w:r>
      <w:proofErr w:type="gramStart"/>
      <w:r w:rsidR="00395146" w:rsidRPr="00037E9C">
        <w:rPr>
          <w:rFonts w:ascii="Times New Roman" w:hAnsi="Times New Roman" w:cs="Times New Roman"/>
          <w:color w:val="212121"/>
          <w:shd w:val="clear" w:color="auto" w:fill="FFFFFF"/>
        </w:rPr>
        <w:t>):1286.e</w:t>
      </w:r>
      <w:proofErr w:type="gramEnd"/>
      <w:r w:rsidR="00395146" w:rsidRPr="00037E9C">
        <w:rPr>
          <w:rFonts w:ascii="Times New Roman" w:hAnsi="Times New Roman" w:cs="Times New Roman"/>
          <w:color w:val="212121"/>
          <w:shd w:val="clear" w:color="auto" w:fill="FFFFFF"/>
        </w:rPr>
        <w:t xml:space="preserve">1-1286.e7. </w:t>
      </w:r>
      <w:proofErr w:type="gramStart"/>
      <w:r w:rsidR="00395146" w:rsidRPr="00037E9C">
        <w:rPr>
          <w:rFonts w:ascii="Times New Roman" w:hAnsi="Times New Roman" w:cs="Times New Roman"/>
          <w:color w:val="212121"/>
          <w:shd w:val="clear" w:color="auto" w:fill="FFFFFF"/>
        </w:rPr>
        <w:t>doi:10.1016/j.cmi</w:t>
      </w:r>
      <w:proofErr w:type="gramEnd"/>
      <w:r w:rsidR="00395146" w:rsidRPr="00037E9C">
        <w:rPr>
          <w:rFonts w:ascii="Times New Roman" w:hAnsi="Times New Roman" w:cs="Times New Roman"/>
          <w:color w:val="212121"/>
          <w:shd w:val="clear" w:color="auto" w:fill="FFFFFF"/>
        </w:rPr>
        <w:t>.2019.02.029</w:t>
      </w:r>
    </w:p>
    <w:p w14:paraId="5AD9C028" w14:textId="0680AE13" w:rsidR="00395146" w:rsidRPr="00037E9C" w:rsidRDefault="007740D7" w:rsidP="00395146">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20</w:t>
      </w:r>
      <w:r w:rsidR="00EC22CC" w:rsidRPr="00037E9C">
        <w:rPr>
          <w:rFonts w:ascii="Times New Roman" w:hAnsi="Times New Roman" w:cs="Times New Roman"/>
          <w:color w:val="212121"/>
          <w:shd w:val="clear" w:color="auto" w:fill="FFFFFF"/>
        </w:rPr>
        <w:t xml:space="preserve">. </w:t>
      </w:r>
      <w:r w:rsidR="008B67D5" w:rsidRPr="00037E9C">
        <w:rPr>
          <w:rFonts w:ascii="Times New Roman" w:hAnsi="Times New Roman" w:cs="Times New Roman"/>
          <w:color w:val="212121"/>
          <w:shd w:val="clear" w:color="auto" w:fill="FFFFFF"/>
        </w:rPr>
        <w:t>Olney KB, Wallace KL, Mynatt RP, et al. Comparison of Bayesian-derived and first-order analytic equations for calculation of vancomycin area under the curve. </w:t>
      </w:r>
      <w:r w:rsidR="008B67D5" w:rsidRPr="00037E9C">
        <w:rPr>
          <w:rFonts w:ascii="Times New Roman" w:hAnsi="Times New Roman" w:cs="Times New Roman"/>
          <w:i/>
          <w:iCs/>
          <w:color w:val="212121"/>
          <w:shd w:val="clear" w:color="auto" w:fill="FFFFFF"/>
        </w:rPr>
        <w:t>Pharmacotherapy</w:t>
      </w:r>
      <w:r w:rsidR="008B67D5" w:rsidRPr="00037E9C">
        <w:rPr>
          <w:rFonts w:ascii="Times New Roman" w:hAnsi="Times New Roman" w:cs="Times New Roman"/>
          <w:color w:val="212121"/>
          <w:shd w:val="clear" w:color="auto" w:fill="FFFFFF"/>
        </w:rPr>
        <w:t>. 2022;42(4):284-291. doi:10.1002/phar.2670</w:t>
      </w:r>
    </w:p>
    <w:p w14:paraId="650641D5" w14:textId="2AAEE46E" w:rsidR="008B67D5" w:rsidRPr="00037E9C" w:rsidRDefault="007740D7" w:rsidP="00395146">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21</w:t>
      </w:r>
      <w:r w:rsidR="00EC22CC" w:rsidRPr="00037E9C">
        <w:rPr>
          <w:rFonts w:ascii="Times New Roman" w:hAnsi="Times New Roman" w:cs="Times New Roman"/>
          <w:color w:val="212121"/>
          <w:shd w:val="clear" w:color="auto" w:fill="FFFFFF"/>
        </w:rPr>
        <w:t xml:space="preserve">. </w:t>
      </w:r>
      <w:r w:rsidR="008B67D5" w:rsidRPr="00037E9C">
        <w:rPr>
          <w:rFonts w:ascii="Times New Roman" w:hAnsi="Times New Roman" w:cs="Times New Roman"/>
          <w:color w:val="212121"/>
          <w:shd w:val="clear" w:color="auto" w:fill="FFFFFF"/>
        </w:rPr>
        <w:t xml:space="preserve">Maung NH, </w:t>
      </w:r>
      <w:proofErr w:type="spellStart"/>
      <w:r w:rsidR="008B67D5" w:rsidRPr="00037E9C">
        <w:rPr>
          <w:rFonts w:ascii="Times New Roman" w:hAnsi="Times New Roman" w:cs="Times New Roman"/>
          <w:color w:val="212121"/>
          <w:shd w:val="clear" w:color="auto" w:fill="FFFFFF"/>
        </w:rPr>
        <w:t>Methaneethorn</w:t>
      </w:r>
      <w:proofErr w:type="spellEnd"/>
      <w:r w:rsidR="008B67D5" w:rsidRPr="00037E9C">
        <w:rPr>
          <w:rFonts w:ascii="Times New Roman" w:hAnsi="Times New Roman" w:cs="Times New Roman"/>
          <w:color w:val="212121"/>
          <w:shd w:val="clear" w:color="auto" w:fill="FFFFFF"/>
        </w:rPr>
        <w:t xml:space="preserve"> J, Wattanavijitkul T, </w:t>
      </w:r>
      <w:proofErr w:type="spellStart"/>
      <w:r w:rsidR="008B67D5" w:rsidRPr="00037E9C">
        <w:rPr>
          <w:rFonts w:ascii="Times New Roman" w:hAnsi="Times New Roman" w:cs="Times New Roman"/>
          <w:color w:val="212121"/>
          <w:shd w:val="clear" w:color="auto" w:fill="FFFFFF"/>
        </w:rPr>
        <w:t>Sriboonruang</w:t>
      </w:r>
      <w:proofErr w:type="spellEnd"/>
      <w:r w:rsidR="008B67D5" w:rsidRPr="00037E9C">
        <w:rPr>
          <w:rFonts w:ascii="Times New Roman" w:hAnsi="Times New Roman" w:cs="Times New Roman"/>
          <w:color w:val="212121"/>
          <w:shd w:val="clear" w:color="auto" w:fill="FFFFFF"/>
        </w:rPr>
        <w:t xml:space="preserve"> T. Comparison of area under the curve for vancomycin from one- and two-compartment models using sparse data. </w:t>
      </w:r>
      <w:proofErr w:type="spellStart"/>
      <w:r w:rsidR="008B67D5" w:rsidRPr="00037E9C">
        <w:rPr>
          <w:rFonts w:ascii="Times New Roman" w:hAnsi="Times New Roman" w:cs="Times New Roman"/>
          <w:i/>
          <w:iCs/>
          <w:color w:val="212121"/>
          <w:shd w:val="clear" w:color="auto" w:fill="FFFFFF"/>
        </w:rPr>
        <w:t>Eur</w:t>
      </w:r>
      <w:proofErr w:type="spellEnd"/>
      <w:r w:rsidR="008B67D5" w:rsidRPr="00037E9C">
        <w:rPr>
          <w:rFonts w:ascii="Times New Roman" w:hAnsi="Times New Roman" w:cs="Times New Roman"/>
          <w:i/>
          <w:iCs/>
          <w:color w:val="212121"/>
          <w:shd w:val="clear" w:color="auto" w:fill="FFFFFF"/>
        </w:rPr>
        <w:t xml:space="preserve"> J Hosp Pharm</w:t>
      </w:r>
      <w:r w:rsidR="008B67D5" w:rsidRPr="00037E9C">
        <w:rPr>
          <w:rFonts w:ascii="Times New Roman" w:hAnsi="Times New Roman" w:cs="Times New Roman"/>
          <w:color w:val="212121"/>
          <w:shd w:val="clear" w:color="auto" w:fill="FFFFFF"/>
        </w:rPr>
        <w:t>. 2022;29(e1</w:t>
      </w:r>
      <w:proofErr w:type="gramStart"/>
      <w:r w:rsidR="008B67D5" w:rsidRPr="00037E9C">
        <w:rPr>
          <w:rFonts w:ascii="Times New Roman" w:hAnsi="Times New Roman" w:cs="Times New Roman"/>
          <w:color w:val="212121"/>
          <w:shd w:val="clear" w:color="auto" w:fill="FFFFFF"/>
        </w:rPr>
        <w:t>):e</w:t>
      </w:r>
      <w:proofErr w:type="gramEnd"/>
      <w:r w:rsidR="008B67D5" w:rsidRPr="00037E9C">
        <w:rPr>
          <w:rFonts w:ascii="Times New Roman" w:hAnsi="Times New Roman" w:cs="Times New Roman"/>
          <w:color w:val="212121"/>
          <w:shd w:val="clear" w:color="auto" w:fill="FFFFFF"/>
        </w:rPr>
        <w:t>57-e62. doi:10.1136/ejhpharm-2020-002637</w:t>
      </w:r>
    </w:p>
    <w:p w14:paraId="3D8D9DE5" w14:textId="0C64372B" w:rsidR="000529D4" w:rsidRPr="00037E9C" w:rsidRDefault="007740D7" w:rsidP="000529D4">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22</w:t>
      </w:r>
      <w:r w:rsidR="000529D4" w:rsidRPr="00037E9C">
        <w:rPr>
          <w:rFonts w:ascii="Times New Roman" w:hAnsi="Times New Roman" w:cs="Times New Roman"/>
          <w:color w:val="212121"/>
          <w:shd w:val="clear" w:color="auto" w:fill="FFFFFF"/>
        </w:rPr>
        <w:t>. Pai MP, Neely M, Rodvold KA, Lodise TP. Innovative approaches to optimizing the delivery of vancomycin in individual patients. </w:t>
      </w:r>
      <w:r w:rsidR="000529D4" w:rsidRPr="00037E9C">
        <w:rPr>
          <w:rFonts w:ascii="Times New Roman" w:hAnsi="Times New Roman" w:cs="Times New Roman"/>
          <w:i/>
          <w:iCs/>
          <w:color w:val="212121"/>
          <w:shd w:val="clear" w:color="auto" w:fill="FFFFFF"/>
        </w:rPr>
        <w:t>Adv Drug Deliv Rev</w:t>
      </w:r>
      <w:r w:rsidR="000529D4" w:rsidRPr="00037E9C">
        <w:rPr>
          <w:rFonts w:ascii="Times New Roman" w:hAnsi="Times New Roman" w:cs="Times New Roman"/>
          <w:color w:val="212121"/>
          <w:shd w:val="clear" w:color="auto" w:fill="FFFFFF"/>
        </w:rPr>
        <w:t xml:space="preserve">. </w:t>
      </w:r>
      <w:proofErr w:type="gramStart"/>
      <w:r w:rsidR="000529D4" w:rsidRPr="00037E9C">
        <w:rPr>
          <w:rFonts w:ascii="Times New Roman" w:hAnsi="Times New Roman" w:cs="Times New Roman"/>
          <w:color w:val="212121"/>
          <w:shd w:val="clear" w:color="auto" w:fill="FFFFFF"/>
        </w:rPr>
        <w:t>2014;77:50</w:t>
      </w:r>
      <w:proofErr w:type="gramEnd"/>
      <w:r w:rsidR="000529D4" w:rsidRPr="00037E9C">
        <w:rPr>
          <w:rFonts w:ascii="Times New Roman" w:hAnsi="Times New Roman" w:cs="Times New Roman"/>
          <w:color w:val="212121"/>
          <w:shd w:val="clear" w:color="auto" w:fill="FFFFFF"/>
        </w:rPr>
        <w:t xml:space="preserve">-57. </w:t>
      </w:r>
      <w:proofErr w:type="gramStart"/>
      <w:r w:rsidR="000529D4" w:rsidRPr="00037E9C">
        <w:rPr>
          <w:rFonts w:ascii="Times New Roman" w:hAnsi="Times New Roman" w:cs="Times New Roman"/>
          <w:color w:val="212121"/>
          <w:shd w:val="clear" w:color="auto" w:fill="FFFFFF"/>
        </w:rPr>
        <w:t>doi:10.1016/j.addr</w:t>
      </w:r>
      <w:proofErr w:type="gramEnd"/>
      <w:r w:rsidR="000529D4" w:rsidRPr="00037E9C">
        <w:rPr>
          <w:rFonts w:ascii="Times New Roman" w:hAnsi="Times New Roman" w:cs="Times New Roman"/>
          <w:color w:val="212121"/>
          <w:shd w:val="clear" w:color="auto" w:fill="FFFFFF"/>
        </w:rPr>
        <w:t>.2014.05.016</w:t>
      </w:r>
    </w:p>
    <w:p w14:paraId="30B4A810" w14:textId="06C7C809" w:rsidR="000529D4" w:rsidRPr="00037E9C" w:rsidRDefault="007740D7" w:rsidP="00395146">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1B1B1B"/>
          <w:shd w:val="clear" w:color="auto" w:fill="FFFFFF"/>
        </w:rPr>
        <w:t>23.</w:t>
      </w:r>
      <w:r w:rsidR="000529D4" w:rsidRPr="00037E9C">
        <w:rPr>
          <w:rFonts w:ascii="Times New Roman" w:hAnsi="Times New Roman" w:cs="Times New Roman"/>
          <w:color w:val="1B1B1B"/>
          <w:shd w:val="clear" w:color="auto" w:fill="FFFFFF"/>
        </w:rPr>
        <w:t xml:space="preserve"> </w:t>
      </w:r>
      <w:proofErr w:type="spellStart"/>
      <w:r w:rsidR="000529D4" w:rsidRPr="00037E9C">
        <w:rPr>
          <w:rFonts w:ascii="Times New Roman" w:hAnsi="Times New Roman" w:cs="Times New Roman"/>
          <w:color w:val="1B1B1B"/>
          <w:shd w:val="clear" w:color="auto" w:fill="FFFFFF"/>
        </w:rPr>
        <w:t>Chanapiwat</w:t>
      </w:r>
      <w:proofErr w:type="spellEnd"/>
      <w:r w:rsidR="000529D4" w:rsidRPr="00037E9C">
        <w:rPr>
          <w:rFonts w:ascii="Times New Roman" w:hAnsi="Times New Roman" w:cs="Times New Roman"/>
          <w:color w:val="1B1B1B"/>
          <w:shd w:val="clear" w:color="auto" w:fill="FFFFFF"/>
        </w:rPr>
        <w:t xml:space="preserve"> P, </w:t>
      </w:r>
      <w:proofErr w:type="spellStart"/>
      <w:r w:rsidR="000529D4" w:rsidRPr="00037E9C">
        <w:rPr>
          <w:rFonts w:ascii="Times New Roman" w:hAnsi="Times New Roman" w:cs="Times New Roman"/>
          <w:color w:val="1B1B1B"/>
          <w:shd w:val="clear" w:color="auto" w:fill="FFFFFF"/>
        </w:rPr>
        <w:t>Paiboonvong</w:t>
      </w:r>
      <w:proofErr w:type="spellEnd"/>
      <w:r w:rsidR="000529D4" w:rsidRPr="00037E9C">
        <w:rPr>
          <w:rFonts w:ascii="Times New Roman" w:hAnsi="Times New Roman" w:cs="Times New Roman"/>
          <w:color w:val="1B1B1B"/>
          <w:shd w:val="clear" w:color="auto" w:fill="FFFFFF"/>
        </w:rPr>
        <w:t xml:space="preserve"> T, </w:t>
      </w:r>
      <w:proofErr w:type="spellStart"/>
      <w:r w:rsidR="000529D4" w:rsidRPr="00037E9C">
        <w:rPr>
          <w:rFonts w:ascii="Times New Roman" w:hAnsi="Times New Roman" w:cs="Times New Roman"/>
          <w:color w:val="1B1B1B"/>
          <w:shd w:val="clear" w:color="auto" w:fill="FFFFFF"/>
        </w:rPr>
        <w:t>Rattanaumpawan</w:t>
      </w:r>
      <w:proofErr w:type="spellEnd"/>
      <w:r w:rsidR="000529D4" w:rsidRPr="00037E9C">
        <w:rPr>
          <w:rFonts w:ascii="Times New Roman" w:hAnsi="Times New Roman" w:cs="Times New Roman"/>
          <w:color w:val="1B1B1B"/>
          <w:shd w:val="clear" w:color="auto" w:fill="FFFFFF"/>
        </w:rPr>
        <w:t xml:space="preserve"> P, </w:t>
      </w:r>
      <w:proofErr w:type="spellStart"/>
      <w:r w:rsidR="000529D4" w:rsidRPr="00037E9C">
        <w:rPr>
          <w:rFonts w:ascii="Times New Roman" w:hAnsi="Times New Roman" w:cs="Times New Roman"/>
          <w:color w:val="1B1B1B"/>
          <w:shd w:val="clear" w:color="auto" w:fill="FFFFFF"/>
        </w:rPr>
        <w:t>Montakantikul</w:t>
      </w:r>
      <w:proofErr w:type="spellEnd"/>
      <w:r w:rsidR="000529D4" w:rsidRPr="00037E9C">
        <w:rPr>
          <w:rFonts w:ascii="Times New Roman" w:hAnsi="Times New Roman" w:cs="Times New Roman"/>
          <w:color w:val="1B1B1B"/>
          <w:shd w:val="clear" w:color="auto" w:fill="FFFFFF"/>
        </w:rPr>
        <w:t xml:space="preserve"> P. Comparison of the mathematical equation and trapezoidal approach for 24 h area under the plasma concentration-time curve calculation in patients who received intravenous vancomycin in an acute care setting. </w:t>
      </w:r>
      <w:proofErr w:type="spellStart"/>
      <w:r w:rsidR="000529D4" w:rsidRPr="00037E9C">
        <w:rPr>
          <w:rFonts w:ascii="Times New Roman" w:hAnsi="Times New Roman" w:cs="Times New Roman"/>
          <w:color w:val="1B1B1B"/>
          <w:shd w:val="clear" w:color="auto" w:fill="FFFFFF"/>
        </w:rPr>
        <w:t>Pharmacol</w:t>
      </w:r>
      <w:proofErr w:type="spellEnd"/>
      <w:r w:rsidR="000529D4" w:rsidRPr="00037E9C">
        <w:rPr>
          <w:rFonts w:ascii="Times New Roman" w:hAnsi="Times New Roman" w:cs="Times New Roman"/>
          <w:color w:val="1B1B1B"/>
          <w:shd w:val="clear" w:color="auto" w:fill="FFFFFF"/>
        </w:rPr>
        <w:t xml:space="preserve"> Res </w:t>
      </w:r>
      <w:proofErr w:type="spellStart"/>
      <w:r w:rsidR="000529D4" w:rsidRPr="00037E9C">
        <w:rPr>
          <w:rFonts w:ascii="Times New Roman" w:hAnsi="Times New Roman" w:cs="Times New Roman"/>
          <w:color w:val="1B1B1B"/>
          <w:shd w:val="clear" w:color="auto" w:fill="FFFFFF"/>
        </w:rPr>
        <w:t>Perspect</w:t>
      </w:r>
      <w:proofErr w:type="spellEnd"/>
      <w:r w:rsidR="000529D4" w:rsidRPr="00037E9C">
        <w:rPr>
          <w:rFonts w:ascii="Times New Roman" w:hAnsi="Times New Roman" w:cs="Times New Roman"/>
          <w:color w:val="1B1B1B"/>
          <w:shd w:val="clear" w:color="auto" w:fill="FFFFFF"/>
        </w:rPr>
        <w:t>. 2023 Feb;11(1</w:t>
      </w:r>
      <w:proofErr w:type="gramStart"/>
      <w:r w:rsidR="000529D4" w:rsidRPr="00037E9C">
        <w:rPr>
          <w:rFonts w:ascii="Times New Roman" w:hAnsi="Times New Roman" w:cs="Times New Roman"/>
          <w:color w:val="1B1B1B"/>
          <w:shd w:val="clear" w:color="auto" w:fill="FFFFFF"/>
        </w:rPr>
        <w:t>):e</w:t>
      </w:r>
      <w:proofErr w:type="gramEnd"/>
      <w:r w:rsidR="000529D4" w:rsidRPr="00037E9C">
        <w:rPr>
          <w:rFonts w:ascii="Times New Roman" w:hAnsi="Times New Roman" w:cs="Times New Roman"/>
          <w:color w:val="1B1B1B"/>
          <w:shd w:val="clear" w:color="auto" w:fill="FFFFFF"/>
        </w:rPr>
        <w:t xml:space="preserve">01046. </w:t>
      </w:r>
      <w:proofErr w:type="spellStart"/>
      <w:r w:rsidR="000529D4" w:rsidRPr="00037E9C">
        <w:rPr>
          <w:rFonts w:ascii="Times New Roman" w:hAnsi="Times New Roman" w:cs="Times New Roman"/>
          <w:color w:val="1B1B1B"/>
          <w:shd w:val="clear" w:color="auto" w:fill="FFFFFF"/>
        </w:rPr>
        <w:t>doi</w:t>
      </w:r>
      <w:proofErr w:type="spellEnd"/>
      <w:r w:rsidR="000529D4" w:rsidRPr="00037E9C">
        <w:rPr>
          <w:rFonts w:ascii="Times New Roman" w:hAnsi="Times New Roman" w:cs="Times New Roman"/>
          <w:color w:val="1B1B1B"/>
          <w:shd w:val="clear" w:color="auto" w:fill="FFFFFF"/>
        </w:rPr>
        <w:t>: 10.1002/prp2.1046. PMID: 36588162; PMCID: PMC9806189</w:t>
      </w:r>
    </w:p>
    <w:p w14:paraId="64017E72" w14:textId="1072BF56" w:rsidR="005E25B2" w:rsidRPr="00037E9C" w:rsidRDefault="007740D7" w:rsidP="005E25B2">
      <w:pPr>
        <w:spacing w:before="100" w:beforeAutospacing="1" w:after="100" w:afterAutospacing="1" w:line="240" w:lineRule="auto"/>
        <w:rPr>
          <w:rFonts w:ascii="Times New Roman" w:hAnsi="Times New Roman" w:cs="Times New Roman"/>
          <w:color w:val="212121"/>
          <w:shd w:val="clear" w:color="auto" w:fill="FFFFFF"/>
        </w:rPr>
      </w:pPr>
      <w:r w:rsidRPr="00037E9C">
        <w:rPr>
          <w:rFonts w:ascii="Times New Roman" w:hAnsi="Times New Roman" w:cs="Times New Roman"/>
          <w:color w:val="212121"/>
          <w:shd w:val="clear" w:color="auto" w:fill="FFFFFF"/>
        </w:rPr>
        <w:t>24</w:t>
      </w:r>
      <w:r w:rsidR="005E25B2" w:rsidRPr="00037E9C">
        <w:rPr>
          <w:rFonts w:ascii="Times New Roman" w:hAnsi="Times New Roman" w:cs="Times New Roman"/>
          <w:color w:val="212121"/>
          <w:shd w:val="clear" w:color="auto" w:fill="FFFFFF"/>
        </w:rPr>
        <w:t>. Sawchuk RJ, Zaske DE. Pharmacokinetics of dosing regimens which utilize multiple intravenous infusions: gentamicin in burn patients. </w:t>
      </w:r>
      <w:r w:rsidR="005E25B2" w:rsidRPr="00037E9C">
        <w:rPr>
          <w:rFonts w:ascii="Times New Roman" w:hAnsi="Times New Roman" w:cs="Times New Roman"/>
          <w:i/>
          <w:iCs/>
          <w:color w:val="212121"/>
          <w:shd w:val="clear" w:color="auto" w:fill="FFFFFF"/>
        </w:rPr>
        <w:t xml:space="preserve">J </w:t>
      </w:r>
      <w:proofErr w:type="spellStart"/>
      <w:r w:rsidR="005E25B2" w:rsidRPr="00037E9C">
        <w:rPr>
          <w:rFonts w:ascii="Times New Roman" w:hAnsi="Times New Roman" w:cs="Times New Roman"/>
          <w:i/>
          <w:iCs/>
          <w:color w:val="212121"/>
          <w:shd w:val="clear" w:color="auto" w:fill="FFFFFF"/>
        </w:rPr>
        <w:t>Pharmacokinet</w:t>
      </w:r>
      <w:proofErr w:type="spellEnd"/>
      <w:r w:rsidR="005E25B2" w:rsidRPr="00037E9C">
        <w:rPr>
          <w:rFonts w:ascii="Times New Roman" w:hAnsi="Times New Roman" w:cs="Times New Roman"/>
          <w:i/>
          <w:iCs/>
          <w:color w:val="212121"/>
          <w:shd w:val="clear" w:color="auto" w:fill="FFFFFF"/>
        </w:rPr>
        <w:t xml:space="preserve"> </w:t>
      </w:r>
      <w:proofErr w:type="spellStart"/>
      <w:r w:rsidR="005E25B2" w:rsidRPr="00037E9C">
        <w:rPr>
          <w:rFonts w:ascii="Times New Roman" w:hAnsi="Times New Roman" w:cs="Times New Roman"/>
          <w:i/>
          <w:iCs/>
          <w:color w:val="212121"/>
          <w:shd w:val="clear" w:color="auto" w:fill="FFFFFF"/>
        </w:rPr>
        <w:t>Biopharm</w:t>
      </w:r>
      <w:proofErr w:type="spellEnd"/>
      <w:r w:rsidR="005E25B2" w:rsidRPr="00037E9C">
        <w:rPr>
          <w:rFonts w:ascii="Times New Roman" w:hAnsi="Times New Roman" w:cs="Times New Roman"/>
          <w:color w:val="212121"/>
          <w:shd w:val="clear" w:color="auto" w:fill="FFFFFF"/>
        </w:rPr>
        <w:t>. 1976;4(2):183-195. doi:10.1007/BF01086153</w:t>
      </w:r>
    </w:p>
    <w:p w14:paraId="04AD5687" w14:textId="617C9D65" w:rsidR="00EC22CC" w:rsidRPr="0036062F" w:rsidRDefault="007740D7" w:rsidP="00395146">
      <w:pPr>
        <w:spacing w:before="100" w:beforeAutospacing="1" w:after="100" w:afterAutospacing="1" w:line="240" w:lineRule="auto"/>
        <w:rPr>
          <w:rFonts w:ascii="Times New Roman" w:hAnsi="Times New Roman" w:cs="Times New Roman"/>
          <w:color w:val="212121"/>
          <w:shd w:val="clear" w:color="auto" w:fill="FFFFFF"/>
          <w:lang w:val="fr-FR"/>
        </w:rPr>
      </w:pPr>
      <w:r w:rsidRPr="00037E9C">
        <w:rPr>
          <w:rFonts w:ascii="Times New Roman" w:hAnsi="Times New Roman" w:cs="Times New Roman"/>
          <w:color w:val="212121"/>
          <w:shd w:val="clear" w:color="auto" w:fill="FFFFFF"/>
        </w:rPr>
        <w:t>25</w:t>
      </w:r>
      <w:r w:rsidR="00EC22CC" w:rsidRPr="00037E9C">
        <w:rPr>
          <w:rFonts w:ascii="Times New Roman" w:hAnsi="Times New Roman" w:cs="Times New Roman"/>
          <w:color w:val="212121"/>
          <w:shd w:val="clear" w:color="auto" w:fill="FFFFFF"/>
        </w:rPr>
        <w:t xml:space="preserve">. </w:t>
      </w:r>
      <w:proofErr w:type="spellStart"/>
      <w:r w:rsidR="00EC22CC" w:rsidRPr="00037E9C">
        <w:rPr>
          <w:rFonts w:ascii="Times New Roman" w:hAnsi="Times New Roman" w:cs="Times New Roman"/>
          <w:color w:val="212121"/>
          <w:shd w:val="clear" w:color="auto" w:fill="FFFFFF"/>
        </w:rPr>
        <w:t>Bonate</w:t>
      </w:r>
      <w:proofErr w:type="spellEnd"/>
      <w:r w:rsidR="00EC22CC" w:rsidRPr="00037E9C">
        <w:rPr>
          <w:rFonts w:ascii="Times New Roman" w:hAnsi="Times New Roman" w:cs="Times New Roman"/>
          <w:color w:val="212121"/>
          <w:shd w:val="clear" w:color="auto" w:fill="FFFFFF"/>
        </w:rPr>
        <w:t xml:space="preserve"> PL. A brief introduction to Monte Carlo simulation. </w:t>
      </w:r>
      <w:r w:rsidR="00EC22CC" w:rsidRPr="0036062F">
        <w:rPr>
          <w:rFonts w:ascii="Times New Roman" w:hAnsi="Times New Roman" w:cs="Times New Roman"/>
          <w:i/>
          <w:iCs/>
          <w:color w:val="212121"/>
          <w:shd w:val="clear" w:color="auto" w:fill="FFFFFF"/>
          <w:lang w:val="fr-FR"/>
        </w:rPr>
        <w:t>Clin Pharmacokinet</w:t>
      </w:r>
      <w:r w:rsidR="00EC22CC" w:rsidRPr="0036062F">
        <w:rPr>
          <w:rFonts w:ascii="Times New Roman" w:hAnsi="Times New Roman" w:cs="Times New Roman"/>
          <w:color w:val="212121"/>
          <w:shd w:val="clear" w:color="auto" w:fill="FFFFFF"/>
          <w:lang w:val="fr-FR"/>
        </w:rPr>
        <w:t>. 2001;40(1):15-22. doi:10.2165/00003088-200140010-00002</w:t>
      </w:r>
    </w:p>
    <w:p w14:paraId="4094A83B" w14:textId="6A18C177" w:rsidR="00802DA3" w:rsidRPr="00037E9C" w:rsidRDefault="007740D7" w:rsidP="00836144">
      <w:pPr>
        <w:spacing w:before="100" w:beforeAutospacing="1" w:after="100" w:afterAutospacing="1" w:line="240" w:lineRule="auto"/>
        <w:rPr>
          <w:rFonts w:ascii="Times New Roman" w:hAnsi="Times New Roman" w:cs="Times New Roman"/>
          <w:color w:val="212121"/>
          <w:shd w:val="clear" w:color="auto" w:fill="FFFFFF"/>
        </w:rPr>
      </w:pPr>
      <w:r w:rsidRPr="0036062F">
        <w:rPr>
          <w:rFonts w:ascii="Times New Roman" w:hAnsi="Times New Roman" w:cs="Times New Roman"/>
          <w:color w:val="212121"/>
          <w:shd w:val="clear" w:color="auto" w:fill="FFFFFF"/>
          <w:lang w:val="fr-FR"/>
        </w:rPr>
        <w:lastRenderedPageBreak/>
        <w:t>26</w:t>
      </w:r>
      <w:r w:rsidR="00EC22CC" w:rsidRPr="0036062F">
        <w:rPr>
          <w:rFonts w:ascii="Times New Roman" w:hAnsi="Times New Roman" w:cs="Times New Roman"/>
          <w:color w:val="212121"/>
          <w:shd w:val="clear" w:color="auto" w:fill="FFFFFF"/>
          <w:lang w:val="fr-FR"/>
        </w:rPr>
        <w:t xml:space="preserve">. Sheiner LB, Beal SL. </w:t>
      </w:r>
      <w:r w:rsidR="00EC22CC" w:rsidRPr="00037E9C">
        <w:rPr>
          <w:rFonts w:ascii="Times New Roman" w:hAnsi="Times New Roman" w:cs="Times New Roman"/>
          <w:color w:val="212121"/>
          <w:shd w:val="clear" w:color="auto" w:fill="FFFFFF"/>
        </w:rPr>
        <w:t>Some suggestions for measuring predictive performance. </w:t>
      </w:r>
      <w:r w:rsidR="00EC22CC" w:rsidRPr="00037E9C">
        <w:rPr>
          <w:rFonts w:ascii="Times New Roman" w:hAnsi="Times New Roman" w:cs="Times New Roman"/>
          <w:i/>
          <w:iCs/>
          <w:color w:val="212121"/>
          <w:shd w:val="clear" w:color="auto" w:fill="FFFFFF"/>
        </w:rPr>
        <w:t xml:space="preserve">J </w:t>
      </w:r>
      <w:proofErr w:type="spellStart"/>
      <w:r w:rsidR="00EC22CC" w:rsidRPr="00037E9C">
        <w:rPr>
          <w:rFonts w:ascii="Times New Roman" w:hAnsi="Times New Roman" w:cs="Times New Roman"/>
          <w:i/>
          <w:iCs/>
          <w:color w:val="212121"/>
          <w:shd w:val="clear" w:color="auto" w:fill="FFFFFF"/>
        </w:rPr>
        <w:t>Pharmacokinet</w:t>
      </w:r>
      <w:proofErr w:type="spellEnd"/>
      <w:r w:rsidR="00EC22CC" w:rsidRPr="00037E9C">
        <w:rPr>
          <w:rFonts w:ascii="Times New Roman" w:hAnsi="Times New Roman" w:cs="Times New Roman"/>
          <w:i/>
          <w:iCs/>
          <w:color w:val="212121"/>
          <w:shd w:val="clear" w:color="auto" w:fill="FFFFFF"/>
        </w:rPr>
        <w:t xml:space="preserve"> </w:t>
      </w:r>
      <w:proofErr w:type="spellStart"/>
      <w:r w:rsidR="00EC22CC" w:rsidRPr="00037E9C">
        <w:rPr>
          <w:rFonts w:ascii="Times New Roman" w:hAnsi="Times New Roman" w:cs="Times New Roman"/>
          <w:i/>
          <w:iCs/>
          <w:color w:val="212121"/>
          <w:shd w:val="clear" w:color="auto" w:fill="FFFFFF"/>
        </w:rPr>
        <w:t>Biopharm</w:t>
      </w:r>
      <w:proofErr w:type="spellEnd"/>
      <w:r w:rsidR="00EC22CC" w:rsidRPr="00037E9C">
        <w:rPr>
          <w:rFonts w:ascii="Times New Roman" w:hAnsi="Times New Roman" w:cs="Times New Roman"/>
          <w:color w:val="212121"/>
          <w:shd w:val="clear" w:color="auto" w:fill="FFFFFF"/>
        </w:rPr>
        <w:t>. 1981;9(4):503-512. doi:10.1007/BF01060893</w:t>
      </w:r>
    </w:p>
    <w:sectPr w:rsidR="00802DA3" w:rsidRPr="00037E9C" w:rsidSect="008361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349E"/>
    <w:multiLevelType w:val="multilevel"/>
    <w:tmpl w:val="971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B3026"/>
    <w:multiLevelType w:val="hybridMultilevel"/>
    <w:tmpl w:val="ED8E00A0"/>
    <w:lvl w:ilvl="0" w:tplc="F7425602">
      <w:start w:val="1"/>
      <w:numFmt w:val="decimal"/>
      <w:lvlText w:val="%1."/>
      <w:lvlJc w:val="left"/>
      <w:pPr>
        <w:ind w:left="720" w:hanging="360"/>
      </w:pPr>
      <w:rPr>
        <w:rFonts w:ascii="Segoe UI" w:eastAsiaTheme="minorHAnsi" w:hAnsi="Segoe UI" w:cs="Segoe UI" w:hint="default"/>
        <w:b w:val="0"/>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137474"/>
    <w:multiLevelType w:val="multilevel"/>
    <w:tmpl w:val="94AE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51FDA"/>
    <w:multiLevelType w:val="hybridMultilevel"/>
    <w:tmpl w:val="807A6756"/>
    <w:lvl w:ilvl="0" w:tplc="40764C02">
      <w:start w:val="1"/>
      <w:numFmt w:val="decimal"/>
      <w:lvlText w:val="%1."/>
      <w:lvlJc w:val="left"/>
      <w:pPr>
        <w:ind w:left="360" w:hanging="360"/>
      </w:pPr>
      <w:rPr>
        <w:rFonts w:ascii="Segoe UI" w:eastAsiaTheme="minorHAnsi" w:hAnsi="Segoe UI" w:cs="Segoe UI" w:hint="default"/>
        <w:b w:val="0"/>
        <w:color w:val="2121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23C4BDD"/>
    <w:multiLevelType w:val="hybridMultilevel"/>
    <w:tmpl w:val="DECCD540"/>
    <w:lvl w:ilvl="0" w:tplc="8B829C84">
      <w:start w:val="1"/>
      <w:numFmt w:val="decimal"/>
      <w:lvlText w:val="%1."/>
      <w:lvlJc w:val="left"/>
      <w:pPr>
        <w:ind w:left="720" w:hanging="360"/>
      </w:pPr>
      <w:rPr>
        <w:rFonts w:ascii="Segoe UI" w:eastAsiaTheme="minorHAnsi" w:hAnsi="Segoe UI" w:cs="Segoe UI" w:hint="default"/>
        <w:b w:val="0"/>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1F40DF"/>
    <w:multiLevelType w:val="multilevel"/>
    <w:tmpl w:val="E3B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349A3"/>
    <w:multiLevelType w:val="multilevel"/>
    <w:tmpl w:val="59C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C389A"/>
    <w:multiLevelType w:val="hybridMultilevel"/>
    <w:tmpl w:val="9B64C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1081022">
    <w:abstractNumId w:val="6"/>
  </w:num>
  <w:num w:numId="2" w16cid:durableId="454763604">
    <w:abstractNumId w:val="5"/>
  </w:num>
  <w:num w:numId="3" w16cid:durableId="129520016">
    <w:abstractNumId w:val="0"/>
  </w:num>
  <w:num w:numId="4" w16cid:durableId="67461727">
    <w:abstractNumId w:val="2"/>
  </w:num>
  <w:num w:numId="5" w16cid:durableId="218826049">
    <w:abstractNumId w:val="7"/>
  </w:num>
  <w:num w:numId="6" w16cid:durableId="683165007">
    <w:abstractNumId w:val="3"/>
  </w:num>
  <w:num w:numId="7" w16cid:durableId="1140878478">
    <w:abstractNumId w:val="4"/>
  </w:num>
  <w:num w:numId="8" w16cid:durableId="125319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144"/>
    <w:rsid w:val="00037E9C"/>
    <w:rsid w:val="000529D4"/>
    <w:rsid w:val="00071E9E"/>
    <w:rsid w:val="000B1078"/>
    <w:rsid w:val="000B69CA"/>
    <w:rsid w:val="000C5296"/>
    <w:rsid w:val="000D0447"/>
    <w:rsid w:val="00134116"/>
    <w:rsid w:val="0014154C"/>
    <w:rsid w:val="00144EB1"/>
    <w:rsid w:val="00161DF3"/>
    <w:rsid w:val="001676C5"/>
    <w:rsid w:val="0019325F"/>
    <w:rsid w:val="001A4D58"/>
    <w:rsid w:val="001A7669"/>
    <w:rsid w:val="00237218"/>
    <w:rsid w:val="002525FC"/>
    <w:rsid w:val="00255D4E"/>
    <w:rsid w:val="002F6A4F"/>
    <w:rsid w:val="003178D1"/>
    <w:rsid w:val="0034585E"/>
    <w:rsid w:val="0036062F"/>
    <w:rsid w:val="00361CAC"/>
    <w:rsid w:val="0036421A"/>
    <w:rsid w:val="003759F5"/>
    <w:rsid w:val="00394E23"/>
    <w:rsid w:val="00395146"/>
    <w:rsid w:val="003B2CDF"/>
    <w:rsid w:val="003D5C70"/>
    <w:rsid w:val="003F3812"/>
    <w:rsid w:val="00403FA5"/>
    <w:rsid w:val="00422429"/>
    <w:rsid w:val="00460817"/>
    <w:rsid w:val="00470B96"/>
    <w:rsid w:val="004A1D49"/>
    <w:rsid w:val="00504AFE"/>
    <w:rsid w:val="00525344"/>
    <w:rsid w:val="00560DA9"/>
    <w:rsid w:val="00580FFF"/>
    <w:rsid w:val="00593C38"/>
    <w:rsid w:val="005C6AD7"/>
    <w:rsid w:val="005D54D2"/>
    <w:rsid w:val="005E25B2"/>
    <w:rsid w:val="005E708F"/>
    <w:rsid w:val="005F2F24"/>
    <w:rsid w:val="005F7126"/>
    <w:rsid w:val="0060304C"/>
    <w:rsid w:val="00612181"/>
    <w:rsid w:val="00624DEF"/>
    <w:rsid w:val="00640DFA"/>
    <w:rsid w:val="006A3C67"/>
    <w:rsid w:val="006E337F"/>
    <w:rsid w:val="0072181A"/>
    <w:rsid w:val="0073605F"/>
    <w:rsid w:val="00742416"/>
    <w:rsid w:val="007740D7"/>
    <w:rsid w:val="0078596E"/>
    <w:rsid w:val="007A761B"/>
    <w:rsid w:val="00801D54"/>
    <w:rsid w:val="00802DA3"/>
    <w:rsid w:val="00817C66"/>
    <w:rsid w:val="0082463E"/>
    <w:rsid w:val="00836144"/>
    <w:rsid w:val="008454EA"/>
    <w:rsid w:val="00871130"/>
    <w:rsid w:val="00890AB5"/>
    <w:rsid w:val="008943A8"/>
    <w:rsid w:val="008945F2"/>
    <w:rsid w:val="0089598F"/>
    <w:rsid w:val="00897814"/>
    <w:rsid w:val="008A45A0"/>
    <w:rsid w:val="008B67D5"/>
    <w:rsid w:val="008B6F55"/>
    <w:rsid w:val="008E258A"/>
    <w:rsid w:val="00962AD6"/>
    <w:rsid w:val="00977B6A"/>
    <w:rsid w:val="009865C2"/>
    <w:rsid w:val="009976E5"/>
    <w:rsid w:val="009D0807"/>
    <w:rsid w:val="009E5896"/>
    <w:rsid w:val="009E62EC"/>
    <w:rsid w:val="009F0DD2"/>
    <w:rsid w:val="00A102EB"/>
    <w:rsid w:val="00A2115D"/>
    <w:rsid w:val="00A76444"/>
    <w:rsid w:val="00AC6249"/>
    <w:rsid w:val="00AD28EC"/>
    <w:rsid w:val="00B633F5"/>
    <w:rsid w:val="00BE56E0"/>
    <w:rsid w:val="00BF254F"/>
    <w:rsid w:val="00BF3056"/>
    <w:rsid w:val="00BF3FCD"/>
    <w:rsid w:val="00C12941"/>
    <w:rsid w:val="00C167B2"/>
    <w:rsid w:val="00C42AAD"/>
    <w:rsid w:val="00C5487D"/>
    <w:rsid w:val="00C87979"/>
    <w:rsid w:val="00C9104F"/>
    <w:rsid w:val="00CA5652"/>
    <w:rsid w:val="00CB4458"/>
    <w:rsid w:val="00CB5D34"/>
    <w:rsid w:val="00CE1C28"/>
    <w:rsid w:val="00DA152D"/>
    <w:rsid w:val="00DA1AA0"/>
    <w:rsid w:val="00DE7981"/>
    <w:rsid w:val="00DF6872"/>
    <w:rsid w:val="00E5296A"/>
    <w:rsid w:val="00E555CA"/>
    <w:rsid w:val="00E72058"/>
    <w:rsid w:val="00E93B70"/>
    <w:rsid w:val="00EC22CC"/>
    <w:rsid w:val="00F55142"/>
    <w:rsid w:val="00F66772"/>
    <w:rsid w:val="00F93237"/>
    <w:rsid w:val="00FA5A24"/>
    <w:rsid w:val="00FD5A46"/>
    <w:rsid w:val="00FE1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D270E"/>
  <w15:chartTrackingRefBased/>
  <w15:docId w15:val="{D141FF0F-CA9A-4261-A5BF-969066373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144"/>
    <w:rPr>
      <w:rFonts w:eastAsiaTheme="majorEastAsia" w:cstheme="majorBidi"/>
      <w:color w:val="272727" w:themeColor="text1" w:themeTint="D8"/>
    </w:rPr>
  </w:style>
  <w:style w:type="paragraph" w:styleId="Title">
    <w:name w:val="Title"/>
    <w:basedOn w:val="Normal"/>
    <w:next w:val="Normal"/>
    <w:link w:val="TitleChar"/>
    <w:uiPriority w:val="10"/>
    <w:qFormat/>
    <w:rsid w:val="00836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144"/>
    <w:pPr>
      <w:spacing w:before="160"/>
      <w:jc w:val="center"/>
    </w:pPr>
    <w:rPr>
      <w:i/>
      <w:iCs/>
      <w:color w:val="404040" w:themeColor="text1" w:themeTint="BF"/>
    </w:rPr>
  </w:style>
  <w:style w:type="character" w:customStyle="1" w:styleId="QuoteChar">
    <w:name w:val="Quote Char"/>
    <w:basedOn w:val="DefaultParagraphFont"/>
    <w:link w:val="Quote"/>
    <w:uiPriority w:val="29"/>
    <w:rsid w:val="00836144"/>
    <w:rPr>
      <w:i/>
      <w:iCs/>
      <w:color w:val="404040" w:themeColor="text1" w:themeTint="BF"/>
    </w:rPr>
  </w:style>
  <w:style w:type="paragraph" w:styleId="ListParagraph">
    <w:name w:val="List Paragraph"/>
    <w:basedOn w:val="Normal"/>
    <w:uiPriority w:val="34"/>
    <w:qFormat/>
    <w:rsid w:val="00836144"/>
    <w:pPr>
      <w:ind w:left="720"/>
      <w:contextualSpacing/>
    </w:pPr>
  </w:style>
  <w:style w:type="character" w:styleId="IntenseEmphasis">
    <w:name w:val="Intense Emphasis"/>
    <w:basedOn w:val="DefaultParagraphFont"/>
    <w:uiPriority w:val="21"/>
    <w:qFormat/>
    <w:rsid w:val="00836144"/>
    <w:rPr>
      <w:i/>
      <w:iCs/>
      <w:color w:val="0F4761" w:themeColor="accent1" w:themeShade="BF"/>
    </w:rPr>
  </w:style>
  <w:style w:type="paragraph" w:styleId="IntenseQuote">
    <w:name w:val="Intense Quote"/>
    <w:basedOn w:val="Normal"/>
    <w:next w:val="Normal"/>
    <w:link w:val="IntenseQuoteChar"/>
    <w:uiPriority w:val="30"/>
    <w:qFormat/>
    <w:rsid w:val="00836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144"/>
    <w:rPr>
      <w:i/>
      <w:iCs/>
      <w:color w:val="0F4761" w:themeColor="accent1" w:themeShade="BF"/>
    </w:rPr>
  </w:style>
  <w:style w:type="character" w:styleId="IntenseReference">
    <w:name w:val="Intense Reference"/>
    <w:basedOn w:val="DefaultParagraphFont"/>
    <w:uiPriority w:val="32"/>
    <w:qFormat/>
    <w:rsid w:val="00836144"/>
    <w:rPr>
      <w:b/>
      <w:bCs/>
      <w:smallCaps/>
      <w:color w:val="0F4761" w:themeColor="accent1" w:themeShade="BF"/>
      <w:spacing w:val="5"/>
    </w:rPr>
  </w:style>
  <w:style w:type="paragraph" w:styleId="NormalWeb">
    <w:name w:val="Normal (Web)"/>
    <w:basedOn w:val="Normal"/>
    <w:uiPriority w:val="99"/>
    <w:semiHidden/>
    <w:unhideWhenUsed/>
    <w:rsid w:val="006030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B2CDF"/>
    <w:rPr>
      <w:color w:val="467886" w:themeColor="hyperlink"/>
      <w:u w:val="single"/>
    </w:rPr>
  </w:style>
  <w:style w:type="character" w:styleId="UnresolvedMention">
    <w:name w:val="Unresolved Mention"/>
    <w:basedOn w:val="DefaultParagraphFont"/>
    <w:uiPriority w:val="99"/>
    <w:semiHidden/>
    <w:unhideWhenUsed/>
    <w:rsid w:val="003B2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6489</Words>
  <Characters>38676</Characters>
  <Application>Microsoft Office Word</Application>
  <DocSecurity>0</DocSecurity>
  <Lines>991</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Pierce</dc:creator>
  <cp:keywords/>
  <dc:description/>
  <cp:lastModifiedBy>Marshall Pierce</cp:lastModifiedBy>
  <cp:revision>2</cp:revision>
  <cp:lastPrinted>2026-02-02T14:34:00Z</cp:lastPrinted>
  <dcterms:created xsi:type="dcterms:W3CDTF">2026-02-02T17:28:00Z</dcterms:created>
  <dcterms:modified xsi:type="dcterms:W3CDTF">2026-02-02T17:28:00Z</dcterms:modified>
</cp:coreProperties>
</file>