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470"/>
      </w:tblGrid>
      <w:tr w:rsidR="00FD163B" w14:paraId="08AAC12B" w14:textId="77777777" w:rsidTr="25ED4B98">
        <w:tc>
          <w:tcPr>
            <w:tcW w:w="7672" w:type="dxa"/>
            <w:tcMar>
              <w:top w:w="216" w:type="dxa"/>
              <w:left w:w="115" w:type="dxa"/>
              <w:bottom w:w="216" w:type="dxa"/>
              <w:right w:w="115" w:type="dxa"/>
            </w:tcMar>
          </w:tcPr>
          <w:p w14:paraId="29E671DC" w14:textId="77777777" w:rsidR="00FD163B" w:rsidRPr="00965806" w:rsidRDefault="00FD163B" w:rsidP="00FD163B">
            <w:pPr>
              <w:pStyle w:val="NoSpacing"/>
              <w:rPr>
                <w:rFonts w:asciiTheme="minorHAnsi" w:eastAsia="Times New Roman" w:hAnsiTheme="minorHAnsi" w:cs="Times New Roman"/>
                <w:color w:val="315361" w:themeColor="text2"/>
              </w:rPr>
            </w:pPr>
            <w:bookmarkStart w:id="0" w:name="_Toc271574649"/>
            <w:bookmarkStart w:id="1" w:name="_Toc271575298"/>
            <w:r w:rsidRPr="008A6BDD">
              <w:rPr>
                <w:rFonts w:asciiTheme="minorHAnsi" w:eastAsia="Cambria,Times New Roman" w:hAnsiTheme="minorHAnsi" w:cs="Cambria,Times New Roman"/>
                <w:color w:val="315361" w:themeColor="text2"/>
                <w:sz w:val="28"/>
              </w:rPr>
              <w:t>Energy and Environmental Economics, Inc</w:t>
            </w:r>
          </w:p>
        </w:tc>
      </w:tr>
      <w:tr w:rsidR="00FD163B" w14:paraId="46BDAB88" w14:textId="77777777" w:rsidTr="25ED4B98">
        <w:tc>
          <w:tcPr>
            <w:tcW w:w="7672" w:type="dxa"/>
          </w:tcPr>
          <w:p w14:paraId="19C14F19" w14:textId="77777777" w:rsidR="00ED1495" w:rsidRPr="00965806" w:rsidRDefault="00FD163B" w:rsidP="00ED1495">
            <w:pPr>
              <w:pStyle w:val="NoSpacing"/>
              <w:rPr>
                <w:rFonts w:asciiTheme="minorHAnsi" w:eastAsia="Times New Roman" w:hAnsiTheme="minorHAnsi" w:cs="Times New Roman"/>
                <w:color w:val="315361" w:themeColor="text2"/>
                <w:sz w:val="80"/>
                <w:szCs w:val="80"/>
              </w:rPr>
            </w:pPr>
            <w:r w:rsidRPr="008A6BDD">
              <w:rPr>
                <w:rFonts w:asciiTheme="minorHAnsi" w:eastAsia="Cambria,Times New Roman" w:hAnsiTheme="minorHAnsi" w:cs="Cambria,Times New Roman"/>
                <w:color w:val="315361" w:themeColor="text2"/>
                <w:sz w:val="80"/>
                <w:szCs w:val="80"/>
              </w:rPr>
              <w:t xml:space="preserve">Avoided Costs </w:t>
            </w:r>
          </w:p>
          <w:p w14:paraId="28044451" w14:textId="169164AF" w:rsidR="00FD163B" w:rsidRPr="00965806" w:rsidRDefault="00664090" w:rsidP="00B43108">
            <w:pPr>
              <w:pStyle w:val="NoSpacing"/>
              <w:rPr>
                <w:rFonts w:asciiTheme="minorHAnsi" w:eastAsia="Times New Roman" w:hAnsiTheme="minorHAnsi" w:cs="Times New Roman"/>
                <w:color w:val="315361" w:themeColor="text2"/>
                <w:sz w:val="80"/>
                <w:szCs w:val="80"/>
              </w:rPr>
            </w:pPr>
            <w:r>
              <w:rPr>
                <w:rFonts w:asciiTheme="minorHAnsi" w:eastAsia="Cambria,Times New Roman" w:hAnsiTheme="minorHAnsi" w:cs="Cambria,Times New Roman"/>
                <w:color w:val="315361" w:themeColor="text2"/>
                <w:sz w:val="80"/>
                <w:szCs w:val="80"/>
              </w:rPr>
              <w:t>2017</w:t>
            </w:r>
            <w:r w:rsidR="00ED1495" w:rsidRPr="008A6BDD">
              <w:rPr>
                <w:rFonts w:asciiTheme="minorHAnsi" w:eastAsia="Cambria,Times New Roman" w:hAnsiTheme="minorHAnsi" w:cs="Cambria,Times New Roman"/>
                <w:color w:val="315361" w:themeColor="text2"/>
                <w:sz w:val="80"/>
                <w:szCs w:val="80"/>
              </w:rPr>
              <w:t xml:space="preserve"> </w:t>
            </w:r>
            <w:r w:rsidR="00722D29" w:rsidRPr="008A6BDD">
              <w:rPr>
                <w:rFonts w:asciiTheme="minorHAnsi" w:eastAsia="Cambria,Times New Roman" w:hAnsiTheme="minorHAnsi" w:cs="Cambria,Times New Roman"/>
                <w:color w:val="315361" w:themeColor="text2"/>
                <w:sz w:val="80"/>
                <w:szCs w:val="80"/>
              </w:rPr>
              <w:t xml:space="preserve">Interim </w:t>
            </w:r>
            <w:r w:rsidR="00FD163B" w:rsidRPr="008A6BDD">
              <w:rPr>
                <w:rFonts w:asciiTheme="minorHAnsi" w:eastAsia="Cambria,Times New Roman" w:hAnsiTheme="minorHAnsi" w:cs="Cambria,Times New Roman"/>
                <w:color w:val="315361" w:themeColor="text2"/>
                <w:sz w:val="80"/>
                <w:szCs w:val="80"/>
              </w:rPr>
              <w:t>Update</w:t>
            </w:r>
          </w:p>
        </w:tc>
      </w:tr>
      <w:tr w:rsidR="00FD163B" w14:paraId="0E554A98" w14:textId="77777777" w:rsidTr="25ED4B98">
        <w:tc>
          <w:tcPr>
            <w:tcW w:w="7672" w:type="dxa"/>
            <w:tcMar>
              <w:top w:w="216" w:type="dxa"/>
              <w:left w:w="115" w:type="dxa"/>
              <w:bottom w:w="216" w:type="dxa"/>
              <w:right w:w="115" w:type="dxa"/>
            </w:tcMar>
          </w:tcPr>
          <w:p w14:paraId="756A6944" w14:textId="77777777" w:rsidR="00FD163B" w:rsidRPr="00FD163B" w:rsidRDefault="00FD163B" w:rsidP="00FD163B">
            <w:pPr>
              <w:pStyle w:val="NoSpacing"/>
              <w:rPr>
                <w:rFonts w:ascii="Cambria" w:eastAsia="Times New Roman" w:hAnsi="Cambria" w:cs="Times New Roman"/>
              </w:rPr>
            </w:pPr>
          </w:p>
        </w:tc>
      </w:tr>
    </w:tbl>
    <w:p w14:paraId="791B6A7A" w14:textId="77777777" w:rsidR="00FD163B" w:rsidRDefault="00FD163B"/>
    <w:p w14:paraId="2BD0D28B" w14:textId="77777777" w:rsidR="00FD163B" w:rsidRDefault="00FD163B"/>
    <w:tbl>
      <w:tblPr>
        <w:tblpPr w:leftFromText="187" w:rightFromText="187" w:horzAnchor="margin" w:tblpXSpec="center" w:tblpYSpec="bottom"/>
        <w:tblW w:w="4000" w:type="pct"/>
        <w:tblLook w:val="04A0" w:firstRow="1" w:lastRow="0" w:firstColumn="1" w:lastColumn="0" w:noHBand="0" w:noVBand="1"/>
      </w:tblPr>
      <w:tblGrid>
        <w:gridCol w:w="7488"/>
      </w:tblGrid>
      <w:tr w:rsidR="00FD163B" w14:paraId="0EC498EA" w14:textId="77777777" w:rsidTr="25ED4B98">
        <w:tc>
          <w:tcPr>
            <w:tcW w:w="7672" w:type="dxa"/>
            <w:tcMar>
              <w:top w:w="216" w:type="dxa"/>
              <w:left w:w="115" w:type="dxa"/>
              <w:bottom w:w="216" w:type="dxa"/>
              <w:right w:w="115" w:type="dxa"/>
            </w:tcMar>
          </w:tcPr>
          <w:p w14:paraId="5E5CD295" w14:textId="3885AC13" w:rsidR="00664090" w:rsidRDefault="00664090">
            <w:pPr>
              <w:pStyle w:val="NoSpacing"/>
            </w:pPr>
            <w:r>
              <w:t>Zach Ming</w:t>
            </w:r>
          </w:p>
          <w:p w14:paraId="6EC2D4A6" w14:textId="77777777" w:rsidR="00664090" w:rsidRDefault="00664090">
            <w:pPr>
              <w:pStyle w:val="NoSpacing"/>
            </w:pPr>
            <w:proofErr w:type="spellStart"/>
            <w:r>
              <w:t>Snuller</w:t>
            </w:r>
            <w:proofErr w:type="spellEnd"/>
            <w:r>
              <w:t xml:space="preserve"> Price</w:t>
            </w:r>
          </w:p>
          <w:p w14:paraId="0529DAAB" w14:textId="760D13F0" w:rsidR="00FD163B" w:rsidRDefault="00FD163B">
            <w:pPr>
              <w:pStyle w:val="NoSpacing"/>
            </w:pPr>
            <w:r>
              <w:t>Brian Horii</w:t>
            </w:r>
          </w:p>
          <w:p w14:paraId="19DA85AD" w14:textId="77777777" w:rsidR="00ED1495" w:rsidRPr="00FD163B" w:rsidRDefault="00ED1495">
            <w:pPr>
              <w:pStyle w:val="NoSpacing"/>
              <w:rPr>
                <w:color w:val="4F81BD"/>
              </w:rPr>
            </w:pPr>
          </w:p>
          <w:p w14:paraId="6F46EB7A" w14:textId="65DA1CB5" w:rsidR="00FD163B" w:rsidRPr="00FD163B" w:rsidRDefault="00664090" w:rsidP="00FD163B">
            <w:pPr>
              <w:pStyle w:val="NoSpacing"/>
              <w:rPr>
                <w:color w:val="4F81BD"/>
              </w:rPr>
            </w:pPr>
            <w:r>
              <w:t>September 11</w:t>
            </w:r>
            <w:r w:rsidR="00ED1495">
              <w:t>, 201</w:t>
            </w:r>
            <w:r>
              <w:t>7</w:t>
            </w:r>
          </w:p>
        </w:tc>
      </w:tr>
    </w:tbl>
    <w:p w14:paraId="272B0A92" w14:textId="77777777" w:rsidR="00FD163B" w:rsidRDefault="00FD163B"/>
    <w:p w14:paraId="39415A68" w14:textId="559F797A" w:rsidR="00664090" w:rsidRDefault="00664090" w:rsidP="008A6BDD">
      <w:pPr>
        <w:pStyle w:val="TOCHeading"/>
      </w:pPr>
    </w:p>
    <w:p w14:paraId="104631F8" w14:textId="77777777" w:rsidR="00664090" w:rsidRPr="00664090" w:rsidRDefault="00664090" w:rsidP="00664090">
      <w:pPr>
        <w:rPr>
          <w:lang w:val="x-none"/>
        </w:rPr>
      </w:pPr>
    </w:p>
    <w:p w14:paraId="0E7970A2" w14:textId="77777777" w:rsidR="00664090" w:rsidRPr="00664090" w:rsidRDefault="00664090" w:rsidP="00664090">
      <w:pPr>
        <w:rPr>
          <w:lang w:val="x-none"/>
        </w:rPr>
      </w:pPr>
    </w:p>
    <w:p w14:paraId="09C9E8E6" w14:textId="77777777" w:rsidR="00664090" w:rsidRPr="00664090" w:rsidRDefault="00664090" w:rsidP="00664090">
      <w:pPr>
        <w:rPr>
          <w:lang w:val="x-none"/>
        </w:rPr>
      </w:pPr>
    </w:p>
    <w:p w14:paraId="52E35145" w14:textId="77777777" w:rsidR="00664090" w:rsidRPr="00664090" w:rsidRDefault="00664090" w:rsidP="00664090">
      <w:pPr>
        <w:rPr>
          <w:lang w:val="x-none"/>
        </w:rPr>
      </w:pPr>
    </w:p>
    <w:p w14:paraId="385FF1D6" w14:textId="77777777" w:rsidR="00664090" w:rsidRPr="00664090" w:rsidRDefault="00664090" w:rsidP="00664090">
      <w:pPr>
        <w:rPr>
          <w:lang w:val="x-none"/>
        </w:rPr>
      </w:pPr>
    </w:p>
    <w:p w14:paraId="62040E51" w14:textId="073799DD" w:rsidR="00664090" w:rsidRDefault="00664090" w:rsidP="008A6BDD">
      <w:pPr>
        <w:pStyle w:val="TOCHeading"/>
      </w:pPr>
    </w:p>
    <w:p w14:paraId="7B166AE1" w14:textId="260F3167" w:rsidR="00664090" w:rsidRDefault="00664090" w:rsidP="00664090">
      <w:pPr>
        <w:rPr>
          <w:lang w:val="x-none"/>
        </w:rPr>
      </w:pPr>
    </w:p>
    <w:p w14:paraId="7DAB5814" w14:textId="4891D87A" w:rsidR="00664090" w:rsidRPr="00A93E2C" w:rsidRDefault="00664090" w:rsidP="00A93E2C">
      <w:pPr>
        <w:ind w:left="720"/>
        <w:rPr>
          <w:i/>
          <w:color w:val="FF0000"/>
        </w:rPr>
      </w:pPr>
      <w:r w:rsidRPr="00A93E2C">
        <w:rPr>
          <w:i/>
          <w:color w:val="FF0000"/>
        </w:rPr>
        <w:t xml:space="preserve">Note: This 2017 </w:t>
      </w:r>
      <w:r w:rsidR="00DA6C95">
        <w:rPr>
          <w:i/>
          <w:color w:val="FF0000"/>
        </w:rPr>
        <w:t>update version ACC_2017_v1</w:t>
      </w:r>
      <w:r w:rsidRPr="00A93E2C">
        <w:rPr>
          <w:i/>
          <w:color w:val="FF0000"/>
        </w:rPr>
        <w:t xml:space="preserve"> is based on the 2016</w:t>
      </w:r>
      <w:r w:rsidR="00DA6C95">
        <w:rPr>
          <w:i/>
          <w:color w:val="FF0000"/>
        </w:rPr>
        <w:t xml:space="preserve"> version of the </w:t>
      </w:r>
      <w:r w:rsidRPr="00A93E2C">
        <w:rPr>
          <w:i/>
          <w:color w:val="FF0000"/>
        </w:rPr>
        <w:t>CPUC Avoided Cost Calculator</w:t>
      </w:r>
      <w:r w:rsidR="00DA6C95">
        <w:rPr>
          <w:i/>
          <w:color w:val="FF0000"/>
        </w:rPr>
        <w:t xml:space="preserve"> ACC_2016_v1</w:t>
      </w:r>
      <w:r w:rsidRPr="00A93E2C">
        <w:rPr>
          <w:i/>
          <w:color w:val="FF0000"/>
        </w:rPr>
        <w:t>. The only change t</w:t>
      </w:r>
      <w:bookmarkStart w:id="2" w:name="_GoBack"/>
      <w:bookmarkEnd w:id="2"/>
      <w:r w:rsidRPr="00A93E2C">
        <w:rPr>
          <w:i/>
          <w:color w:val="FF0000"/>
        </w:rPr>
        <w:t>hat</w:t>
      </w:r>
      <w:r w:rsidR="00637C2D">
        <w:rPr>
          <w:i/>
          <w:color w:val="FF0000"/>
        </w:rPr>
        <w:t xml:space="preserve"> version</w:t>
      </w:r>
      <w:r w:rsidRPr="00A93E2C">
        <w:rPr>
          <w:i/>
          <w:color w:val="FF0000"/>
        </w:rPr>
        <w:t xml:space="preserve"> </w:t>
      </w:r>
      <w:r w:rsidR="00DA6C95">
        <w:rPr>
          <w:i/>
          <w:color w:val="FF0000"/>
        </w:rPr>
        <w:t>ACC_2017_v1</w:t>
      </w:r>
      <w:r w:rsidRPr="00A93E2C">
        <w:rPr>
          <w:i/>
          <w:color w:val="FF0000"/>
        </w:rPr>
        <w:t xml:space="preserve"> incorporates is the addition of a GHG adder as</w:t>
      </w:r>
      <w:r w:rsidR="00A93E2C" w:rsidRPr="00A93E2C">
        <w:rPr>
          <w:i/>
          <w:color w:val="FF0000"/>
        </w:rPr>
        <w:t xml:space="preserve"> </w:t>
      </w:r>
      <w:r w:rsidR="00DA6C95">
        <w:rPr>
          <w:i/>
          <w:color w:val="FF0000"/>
        </w:rPr>
        <w:t>per CPUC Decision 17-08-022 adopted on August 24, 2017</w:t>
      </w:r>
      <w:r w:rsidR="00A93E2C" w:rsidRPr="00A93E2C">
        <w:rPr>
          <w:i/>
          <w:color w:val="FF0000"/>
        </w:rPr>
        <w:t xml:space="preserve">. </w:t>
      </w:r>
    </w:p>
    <w:p w14:paraId="1E4C1AAB" w14:textId="77777777" w:rsidR="00186B05" w:rsidRDefault="00FD163B" w:rsidP="008A6BDD">
      <w:pPr>
        <w:pStyle w:val="TOCHeading"/>
      </w:pPr>
      <w:r w:rsidRPr="00664090">
        <w:br w:type="page"/>
      </w:r>
      <w:r w:rsidR="00186B05">
        <w:lastRenderedPageBreak/>
        <w:t>Table of Contents</w:t>
      </w:r>
    </w:p>
    <w:p w14:paraId="4DE2D91F" w14:textId="7C795E30" w:rsidR="00937042" w:rsidRDefault="00186B05">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516857" w:history="1">
        <w:r w:rsidR="00937042" w:rsidRPr="00E118B0">
          <w:rPr>
            <w:rStyle w:val="Hyperlink"/>
            <w:noProof/>
          </w:rPr>
          <w:t>Overview</w:t>
        </w:r>
        <w:r w:rsidR="00937042">
          <w:rPr>
            <w:noProof/>
            <w:webHidden/>
          </w:rPr>
          <w:tab/>
        </w:r>
        <w:r w:rsidR="00937042">
          <w:rPr>
            <w:noProof/>
            <w:webHidden/>
          </w:rPr>
          <w:fldChar w:fldCharType="begin"/>
        </w:r>
        <w:r w:rsidR="00937042">
          <w:rPr>
            <w:noProof/>
            <w:webHidden/>
          </w:rPr>
          <w:instrText xml:space="preserve"> PAGEREF _Toc493516857 \h </w:instrText>
        </w:r>
        <w:r w:rsidR="00937042">
          <w:rPr>
            <w:noProof/>
            <w:webHidden/>
          </w:rPr>
        </w:r>
        <w:r w:rsidR="00937042">
          <w:rPr>
            <w:noProof/>
            <w:webHidden/>
          </w:rPr>
          <w:fldChar w:fldCharType="separate"/>
        </w:r>
        <w:r w:rsidR="00937042">
          <w:rPr>
            <w:noProof/>
            <w:webHidden/>
          </w:rPr>
          <w:t>2</w:t>
        </w:r>
        <w:r w:rsidR="00937042">
          <w:rPr>
            <w:noProof/>
            <w:webHidden/>
          </w:rPr>
          <w:fldChar w:fldCharType="end"/>
        </w:r>
      </w:hyperlink>
    </w:p>
    <w:p w14:paraId="12B05BD2" w14:textId="04C62EC9" w:rsidR="00937042" w:rsidRDefault="00937042">
      <w:pPr>
        <w:pStyle w:val="TOC1"/>
        <w:rPr>
          <w:rFonts w:asciiTheme="minorHAnsi" w:eastAsiaTheme="minorEastAsia" w:hAnsiTheme="minorHAnsi" w:cstheme="minorBidi"/>
          <w:noProof/>
          <w:sz w:val="22"/>
          <w:szCs w:val="22"/>
        </w:rPr>
      </w:pPr>
      <w:hyperlink w:anchor="_Toc493516858" w:history="1">
        <w:r w:rsidRPr="00E118B0">
          <w:rPr>
            <w:rStyle w:val="Hyperlink"/>
            <w:noProof/>
          </w:rPr>
          <w:t>Natural Gas Avoided Cost Updates</w:t>
        </w:r>
        <w:r>
          <w:rPr>
            <w:noProof/>
            <w:webHidden/>
          </w:rPr>
          <w:tab/>
        </w:r>
        <w:r>
          <w:rPr>
            <w:noProof/>
            <w:webHidden/>
          </w:rPr>
          <w:fldChar w:fldCharType="begin"/>
        </w:r>
        <w:r>
          <w:rPr>
            <w:noProof/>
            <w:webHidden/>
          </w:rPr>
          <w:instrText xml:space="preserve"> PAGEREF _Toc493516858 \h </w:instrText>
        </w:r>
        <w:r>
          <w:rPr>
            <w:noProof/>
            <w:webHidden/>
          </w:rPr>
        </w:r>
        <w:r>
          <w:rPr>
            <w:noProof/>
            <w:webHidden/>
          </w:rPr>
          <w:fldChar w:fldCharType="separate"/>
        </w:r>
        <w:r>
          <w:rPr>
            <w:noProof/>
            <w:webHidden/>
          </w:rPr>
          <w:t>5</w:t>
        </w:r>
        <w:r>
          <w:rPr>
            <w:noProof/>
            <w:webHidden/>
          </w:rPr>
          <w:fldChar w:fldCharType="end"/>
        </w:r>
      </w:hyperlink>
    </w:p>
    <w:p w14:paraId="12BF4DCD" w14:textId="50E0C3AF" w:rsidR="00937042" w:rsidRDefault="00937042">
      <w:pPr>
        <w:pStyle w:val="TOC1"/>
        <w:rPr>
          <w:rFonts w:asciiTheme="minorHAnsi" w:eastAsiaTheme="minorEastAsia" w:hAnsiTheme="minorHAnsi" w:cstheme="minorBidi"/>
          <w:noProof/>
          <w:sz w:val="22"/>
          <w:szCs w:val="22"/>
        </w:rPr>
      </w:pPr>
      <w:hyperlink w:anchor="_Toc493516859" w:history="1">
        <w:r w:rsidRPr="00E118B0">
          <w:rPr>
            <w:rStyle w:val="Hyperlink"/>
            <w:noProof/>
          </w:rPr>
          <w:t>Overview of Electricity Avoided Cost Components</w:t>
        </w:r>
        <w:r>
          <w:rPr>
            <w:noProof/>
            <w:webHidden/>
          </w:rPr>
          <w:tab/>
        </w:r>
        <w:r>
          <w:rPr>
            <w:noProof/>
            <w:webHidden/>
          </w:rPr>
          <w:fldChar w:fldCharType="begin"/>
        </w:r>
        <w:r>
          <w:rPr>
            <w:noProof/>
            <w:webHidden/>
          </w:rPr>
          <w:instrText xml:space="preserve"> PAGEREF _Toc493516859 \h </w:instrText>
        </w:r>
        <w:r>
          <w:rPr>
            <w:noProof/>
            <w:webHidden/>
          </w:rPr>
        </w:r>
        <w:r>
          <w:rPr>
            <w:noProof/>
            <w:webHidden/>
          </w:rPr>
          <w:fldChar w:fldCharType="separate"/>
        </w:r>
        <w:r>
          <w:rPr>
            <w:noProof/>
            <w:webHidden/>
          </w:rPr>
          <w:t>8</w:t>
        </w:r>
        <w:r>
          <w:rPr>
            <w:noProof/>
            <w:webHidden/>
          </w:rPr>
          <w:fldChar w:fldCharType="end"/>
        </w:r>
      </w:hyperlink>
    </w:p>
    <w:p w14:paraId="50186207" w14:textId="155295E1" w:rsidR="00937042" w:rsidRDefault="00937042">
      <w:pPr>
        <w:pStyle w:val="TOC1"/>
        <w:rPr>
          <w:rFonts w:asciiTheme="minorHAnsi" w:eastAsiaTheme="minorEastAsia" w:hAnsiTheme="minorHAnsi" w:cstheme="minorBidi"/>
          <w:noProof/>
          <w:sz w:val="22"/>
          <w:szCs w:val="22"/>
        </w:rPr>
      </w:pPr>
      <w:hyperlink w:anchor="_Toc493516860" w:history="1">
        <w:r w:rsidRPr="00E118B0">
          <w:rPr>
            <w:rStyle w:val="Hyperlink"/>
            <w:noProof/>
          </w:rPr>
          <w:t>Avoided Cost Methodology</w:t>
        </w:r>
        <w:r>
          <w:rPr>
            <w:noProof/>
            <w:webHidden/>
          </w:rPr>
          <w:tab/>
        </w:r>
        <w:r>
          <w:rPr>
            <w:noProof/>
            <w:webHidden/>
          </w:rPr>
          <w:fldChar w:fldCharType="begin"/>
        </w:r>
        <w:r>
          <w:rPr>
            <w:noProof/>
            <w:webHidden/>
          </w:rPr>
          <w:instrText xml:space="preserve"> PAGEREF _Toc493516860 \h </w:instrText>
        </w:r>
        <w:r>
          <w:rPr>
            <w:noProof/>
            <w:webHidden/>
          </w:rPr>
        </w:r>
        <w:r>
          <w:rPr>
            <w:noProof/>
            <w:webHidden/>
          </w:rPr>
          <w:fldChar w:fldCharType="separate"/>
        </w:r>
        <w:r>
          <w:rPr>
            <w:noProof/>
            <w:webHidden/>
          </w:rPr>
          <w:t>13</w:t>
        </w:r>
        <w:r>
          <w:rPr>
            <w:noProof/>
            <w:webHidden/>
          </w:rPr>
          <w:fldChar w:fldCharType="end"/>
        </w:r>
      </w:hyperlink>
    </w:p>
    <w:p w14:paraId="527574FE" w14:textId="1CBA22AC" w:rsidR="00937042" w:rsidRDefault="00937042">
      <w:pPr>
        <w:pStyle w:val="TOC2"/>
        <w:rPr>
          <w:rFonts w:asciiTheme="minorHAnsi" w:eastAsiaTheme="minorEastAsia" w:hAnsiTheme="minorHAnsi" w:cstheme="minorBidi"/>
          <w:noProof/>
          <w:sz w:val="22"/>
          <w:szCs w:val="22"/>
        </w:rPr>
      </w:pPr>
      <w:hyperlink w:anchor="_Toc493516861" w:history="1">
        <w:r w:rsidRPr="00E118B0">
          <w:rPr>
            <w:rStyle w:val="Hyperlink"/>
            <w:noProof/>
          </w:rPr>
          <w:t>Generation Energy</w:t>
        </w:r>
        <w:r>
          <w:rPr>
            <w:noProof/>
            <w:webHidden/>
          </w:rPr>
          <w:tab/>
        </w:r>
        <w:r>
          <w:rPr>
            <w:noProof/>
            <w:webHidden/>
          </w:rPr>
          <w:fldChar w:fldCharType="begin"/>
        </w:r>
        <w:r>
          <w:rPr>
            <w:noProof/>
            <w:webHidden/>
          </w:rPr>
          <w:instrText xml:space="preserve"> PAGEREF _Toc493516861 \h </w:instrText>
        </w:r>
        <w:r>
          <w:rPr>
            <w:noProof/>
            <w:webHidden/>
          </w:rPr>
        </w:r>
        <w:r>
          <w:rPr>
            <w:noProof/>
            <w:webHidden/>
          </w:rPr>
          <w:fldChar w:fldCharType="separate"/>
        </w:r>
        <w:r>
          <w:rPr>
            <w:noProof/>
            <w:webHidden/>
          </w:rPr>
          <w:t>13</w:t>
        </w:r>
        <w:r>
          <w:rPr>
            <w:noProof/>
            <w:webHidden/>
          </w:rPr>
          <w:fldChar w:fldCharType="end"/>
        </w:r>
      </w:hyperlink>
    </w:p>
    <w:p w14:paraId="7F1614ED" w14:textId="0ACBDEA2" w:rsidR="00937042" w:rsidRDefault="00937042">
      <w:pPr>
        <w:pStyle w:val="TOC3"/>
        <w:rPr>
          <w:rFonts w:asciiTheme="minorHAnsi" w:eastAsiaTheme="minorEastAsia" w:hAnsiTheme="minorHAnsi" w:cstheme="minorBidi"/>
          <w:noProof/>
          <w:sz w:val="22"/>
          <w:szCs w:val="22"/>
        </w:rPr>
      </w:pPr>
      <w:hyperlink w:anchor="_Toc493516862" w:history="1">
        <w:r w:rsidRPr="00E118B0">
          <w:rPr>
            <w:rStyle w:val="Hyperlink"/>
            <w:noProof/>
          </w:rPr>
          <w:t>Determination of energy market values</w:t>
        </w:r>
        <w:r>
          <w:rPr>
            <w:noProof/>
            <w:webHidden/>
          </w:rPr>
          <w:tab/>
        </w:r>
        <w:r>
          <w:rPr>
            <w:noProof/>
            <w:webHidden/>
          </w:rPr>
          <w:fldChar w:fldCharType="begin"/>
        </w:r>
        <w:r>
          <w:rPr>
            <w:noProof/>
            <w:webHidden/>
          </w:rPr>
          <w:instrText xml:space="preserve"> PAGEREF _Toc493516862 \h </w:instrText>
        </w:r>
        <w:r>
          <w:rPr>
            <w:noProof/>
            <w:webHidden/>
          </w:rPr>
        </w:r>
        <w:r>
          <w:rPr>
            <w:noProof/>
            <w:webHidden/>
          </w:rPr>
          <w:fldChar w:fldCharType="separate"/>
        </w:r>
        <w:r>
          <w:rPr>
            <w:noProof/>
            <w:webHidden/>
          </w:rPr>
          <w:t>14</w:t>
        </w:r>
        <w:r>
          <w:rPr>
            <w:noProof/>
            <w:webHidden/>
          </w:rPr>
          <w:fldChar w:fldCharType="end"/>
        </w:r>
      </w:hyperlink>
    </w:p>
    <w:p w14:paraId="0D2DD471" w14:textId="2D451C30" w:rsidR="00937042" w:rsidRDefault="00937042">
      <w:pPr>
        <w:pStyle w:val="TOC3"/>
        <w:rPr>
          <w:rFonts w:asciiTheme="minorHAnsi" w:eastAsiaTheme="minorEastAsia" w:hAnsiTheme="minorHAnsi" w:cstheme="minorBidi"/>
          <w:noProof/>
          <w:sz w:val="22"/>
          <w:szCs w:val="22"/>
        </w:rPr>
      </w:pPr>
      <w:hyperlink w:anchor="_Toc493516863" w:history="1">
        <w:r w:rsidRPr="00E118B0">
          <w:rPr>
            <w:rStyle w:val="Hyperlink"/>
            <w:noProof/>
          </w:rPr>
          <w:t>Hourly Shaping of Energy Costs</w:t>
        </w:r>
        <w:r>
          <w:rPr>
            <w:noProof/>
            <w:webHidden/>
          </w:rPr>
          <w:tab/>
        </w:r>
        <w:r>
          <w:rPr>
            <w:noProof/>
            <w:webHidden/>
          </w:rPr>
          <w:fldChar w:fldCharType="begin"/>
        </w:r>
        <w:r>
          <w:rPr>
            <w:noProof/>
            <w:webHidden/>
          </w:rPr>
          <w:instrText xml:space="preserve"> PAGEREF _Toc493516863 \h </w:instrText>
        </w:r>
        <w:r>
          <w:rPr>
            <w:noProof/>
            <w:webHidden/>
          </w:rPr>
        </w:r>
        <w:r>
          <w:rPr>
            <w:noProof/>
            <w:webHidden/>
          </w:rPr>
          <w:fldChar w:fldCharType="separate"/>
        </w:r>
        <w:r>
          <w:rPr>
            <w:noProof/>
            <w:webHidden/>
          </w:rPr>
          <w:t>16</w:t>
        </w:r>
        <w:r>
          <w:rPr>
            <w:noProof/>
            <w:webHidden/>
          </w:rPr>
          <w:fldChar w:fldCharType="end"/>
        </w:r>
      </w:hyperlink>
    </w:p>
    <w:p w14:paraId="323BAEC5" w14:textId="04EE8A6B" w:rsidR="00937042" w:rsidRDefault="00937042">
      <w:pPr>
        <w:pStyle w:val="TOC2"/>
        <w:rPr>
          <w:rFonts w:asciiTheme="minorHAnsi" w:eastAsiaTheme="minorEastAsia" w:hAnsiTheme="minorHAnsi" w:cstheme="minorBidi"/>
          <w:noProof/>
          <w:sz w:val="22"/>
          <w:szCs w:val="22"/>
        </w:rPr>
      </w:pPr>
      <w:hyperlink w:anchor="_Toc493516864" w:history="1">
        <w:r w:rsidRPr="00E118B0">
          <w:rPr>
            <w:rStyle w:val="Hyperlink"/>
            <w:noProof/>
          </w:rPr>
          <w:t>Generation Capacity</w:t>
        </w:r>
        <w:r>
          <w:rPr>
            <w:noProof/>
            <w:webHidden/>
          </w:rPr>
          <w:tab/>
        </w:r>
        <w:r>
          <w:rPr>
            <w:noProof/>
            <w:webHidden/>
          </w:rPr>
          <w:fldChar w:fldCharType="begin"/>
        </w:r>
        <w:r>
          <w:rPr>
            <w:noProof/>
            <w:webHidden/>
          </w:rPr>
          <w:instrText xml:space="preserve"> PAGEREF _Toc493516864 \h </w:instrText>
        </w:r>
        <w:r>
          <w:rPr>
            <w:noProof/>
            <w:webHidden/>
          </w:rPr>
        </w:r>
        <w:r>
          <w:rPr>
            <w:noProof/>
            <w:webHidden/>
          </w:rPr>
          <w:fldChar w:fldCharType="separate"/>
        </w:r>
        <w:r>
          <w:rPr>
            <w:noProof/>
            <w:webHidden/>
          </w:rPr>
          <w:t>17</w:t>
        </w:r>
        <w:r>
          <w:rPr>
            <w:noProof/>
            <w:webHidden/>
          </w:rPr>
          <w:fldChar w:fldCharType="end"/>
        </w:r>
      </w:hyperlink>
    </w:p>
    <w:p w14:paraId="36AC8C7D" w14:textId="05B494A7" w:rsidR="00937042" w:rsidRDefault="00937042">
      <w:pPr>
        <w:pStyle w:val="TOC3"/>
        <w:rPr>
          <w:rFonts w:asciiTheme="minorHAnsi" w:eastAsiaTheme="minorEastAsia" w:hAnsiTheme="minorHAnsi" w:cstheme="minorBidi"/>
          <w:noProof/>
          <w:sz w:val="22"/>
          <w:szCs w:val="22"/>
        </w:rPr>
      </w:pPr>
      <w:hyperlink w:anchor="_Toc493516865" w:history="1">
        <w:r w:rsidRPr="00E118B0">
          <w:rPr>
            <w:rStyle w:val="Hyperlink"/>
            <w:noProof/>
          </w:rPr>
          <w:t>Generation resource balance year</w:t>
        </w:r>
        <w:r>
          <w:rPr>
            <w:noProof/>
            <w:webHidden/>
          </w:rPr>
          <w:tab/>
        </w:r>
        <w:r>
          <w:rPr>
            <w:noProof/>
            <w:webHidden/>
          </w:rPr>
          <w:fldChar w:fldCharType="begin"/>
        </w:r>
        <w:r>
          <w:rPr>
            <w:noProof/>
            <w:webHidden/>
          </w:rPr>
          <w:instrText xml:space="preserve"> PAGEREF _Toc493516865 \h </w:instrText>
        </w:r>
        <w:r>
          <w:rPr>
            <w:noProof/>
            <w:webHidden/>
          </w:rPr>
        </w:r>
        <w:r>
          <w:rPr>
            <w:noProof/>
            <w:webHidden/>
          </w:rPr>
          <w:fldChar w:fldCharType="separate"/>
        </w:r>
        <w:r>
          <w:rPr>
            <w:noProof/>
            <w:webHidden/>
          </w:rPr>
          <w:t>18</w:t>
        </w:r>
        <w:r>
          <w:rPr>
            <w:noProof/>
            <w:webHidden/>
          </w:rPr>
          <w:fldChar w:fldCharType="end"/>
        </w:r>
      </w:hyperlink>
    </w:p>
    <w:p w14:paraId="149677D9" w14:textId="01BAC45E" w:rsidR="00937042" w:rsidRDefault="00937042">
      <w:pPr>
        <w:pStyle w:val="TOC3"/>
        <w:rPr>
          <w:rFonts w:asciiTheme="minorHAnsi" w:eastAsiaTheme="minorEastAsia" w:hAnsiTheme="minorHAnsi" w:cstheme="minorBidi"/>
          <w:noProof/>
          <w:sz w:val="22"/>
          <w:szCs w:val="22"/>
        </w:rPr>
      </w:pPr>
      <w:hyperlink w:anchor="_Toc493516866" w:history="1">
        <w:r w:rsidRPr="00E118B0">
          <w:rPr>
            <w:rStyle w:val="Hyperlink"/>
            <w:noProof/>
          </w:rPr>
          <w:t>CT dispatch</w:t>
        </w:r>
        <w:r>
          <w:rPr>
            <w:noProof/>
            <w:webHidden/>
          </w:rPr>
          <w:tab/>
        </w:r>
        <w:r>
          <w:rPr>
            <w:noProof/>
            <w:webHidden/>
          </w:rPr>
          <w:fldChar w:fldCharType="begin"/>
        </w:r>
        <w:r>
          <w:rPr>
            <w:noProof/>
            <w:webHidden/>
          </w:rPr>
          <w:instrText xml:space="preserve"> PAGEREF _Toc493516866 \h </w:instrText>
        </w:r>
        <w:r>
          <w:rPr>
            <w:noProof/>
            <w:webHidden/>
          </w:rPr>
        </w:r>
        <w:r>
          <w:rPr>
            <w:noProof/>
            <w:webHidden/>
          </w:rPr>
          <w:fldChar w:fldCharType="separate"/>
        </w:r>
        <w:r>
          <w:rPr>
            <w:noProof/>
            <w:webHidden/>
          </w:rPr>
          <w:t>19</w:t>
        </w:r>
        <w:r>
          <w:rPr>
            <w:noProof/>
            <w:webHidden/>
          </w:rPr>
          <w:fldChar w:fldCharType="end"/>
        </w:r>
      </w:hyperlink>
    </w:p>
    <w:p w14:paraId="6B806A8A" w14:textId="369B6A3C" w:rsidR="00937042" w:rsidRDefault="00937042">
      <w:pPr>
        <w:pStyle w:val="TOC3"/>
        <w:rPr>
          <w:rFonts w:asciiTheme="minorHAnsi" w:eastAsiaTheme="minorEastAsia" w:hAnsiTheme="minorHAnsi" w:cstheme="minorBidi"/>
          <w:noProof/>
          <w:sz w:val="22"/>
          <w:szCs w:val="22"/>
        </w:rPr>
      </w:pPr>
      <w:hyperlink w:anchor="_Toc493516867" w:history="1">
        <w:r w:rsidRPr="00E118B0">
          <w:rPr>
            <w:rStyle w:val="Hyperlink"/>
            <w:noProof/>
          </w:rPr>
          <w:t>Temperature effect on unit performance</w:t>
        </w:r>
        <w:r>
          <w:rPr>
            <w:noProof/>
            <w:webHidden/>
          </w:rPr>
          <w:tab/>
        </w:r>
        <w:r>
          <w:rPr>
            <w:noProof/>
            <w:webHidden/>
          </w:rPr>
          <w:fldChar w:fldCharType="begin"/>
        </w:r>
        <w:r>
          <w:rPr>
            <w:noProof/>
            <w:webHidden/>
          </w:rPr>
          <w:instrText xml:space="preserve"> PAGEREF _Toc493516867 \h </w:instrText>
        </w:r>
        <w:r>
          <w:rPr>
            <w:noProof/>
            <w:webHidden/>
          </w:rPr>
        </w:r>
        <w:r>
          <w:rPr>
            <w:noProof/>
            <w:webHidden/>
          </w:rPr>
          <w:fldChar w:fldCharType="separate"/>
        </w:r>
        <w:r>
          <w:rPr>
            <w:noProof/>
            <w:webHidden/>
          </w:rPr>
          <w:t>21</w:t>
        </w:r>
        <w:r>
          <w:rPr>
            <w:noProof/>
            <w:webHidden/>
          </w:rPr>
          <w:fldChar w:fldCharType="end"/>
        </w:r>
      </w:hyperlink>
    </w:p>
    <w:p w14:paraId="38841E81" w14:textId="6E30C09E" w:rsidR="00937042" w:rsidRDefault="00937042">
      <w:pPr>
        <w:pStyle w:val="TOC3"/>
        <w:rPr>
          <w:rFonts w:asciiTheme="minorHAnsi" w:eastAsiaTheme="minorEastAsia" w:hAnsiTheme="minorHAnsi" w:cstheme="minorBidi"/>
          <w:noProof/>
          <w:sz w:val="22"/>
          <w:szCs w:val="22"/>
        </w:rPr>
      </w:pPr>
      <w:hyperlink w:anchor="_Toc493516868" w:history="1">
        <w:r w:rsidRPr="00E118B0">
          <w:rPr>
            <w:rStyle w:val="Hyperlink"/>
            <w:noProof/>
          </w:rPr>
          <w:t>Planning reserve margin and losses</w:t>
        </w:r>
        <w:r>
          <w:rPr>
            <w:noProof/>
            <w:webHidden/>
          </w:rPr>
          <w:tab/>
        </w:r>
        <w:r>
          <w:rPr>
            <w:noProof/>
            <w:webHidden/>
          </w:rPr>
          <w:fldChar w:fldCharType="begin"/>
        </w:r>
        <w:r>
          <w:rPr>
            <w:noProof/>
            <w:webHidden/>
          </w:rPr>
          <w:instrText xml:space="preserve"> PAGEREF _Toc493516868 \h </w:instrText>
        </w:r>
        <w:r>
          <w:rPr>
            <w:noProof/>
            <w:webHidden/>
          </w:rPr>
        </w:r>
        <w:r>
          <w:rPr>
            <w:noProof/>
            <w:webHidden/>
          </w:rPr>
          <w:fldChar w:fldCharType="separate"/>
        </w:r>
        <w:r>
          <w:rPr>
            <w:noProof/>
            <w:webHidden/>
          </w:rPr>
          <w:t>23</w:t>
        </w:r>
        <w:r>
          <w:rPr>
            <w:noProof/>
            <w:webHidden/>
          </w:rPr>
          <w:fldChar w:fldCharType="end"/>
        </w:r>
      </w:hyperlink>
    </w:p>
    <w:p w14:paraId="3F9303C5" w14:textId="252EBFE4" w:rsidR="00937042" w:rsidRDefault="00937042">
      <w:pPr>
        <w:pStyle w:val="TOC3"/>
        <w:rPr>
          <w:rFonts w:asciiTheme="minorHAnsi" w:eastAsiaTheme="minorEastAsia" w:hAnsiTheme="minorHAnsi" w:cstheme="minorBidi"/>
          <w:noProof/>
          <w:sz w:val="22"/>
          <w:szCs w:val="22"/>
        </w:rPr>
      </w:pPr>
      <w:hyperlink w:anchor="_Toc493516869" w:history="1">
        <w:r w:rsidRPr="00E118B0">
          <w:rPr>
            <w:rStyle w:val="Hyperlink"/>
            <w:noProof/>
          </w:rPr>
          <w:t>Hourly allocation of capacity value</w:t>
        </w:r>
        <w:r>
          <w:rPr>
            <w:noProof/>
            <w:webHidden/>
          </w:rPr>
          <w:tab/>
        </w:r>
        <w:r>
          <w:rPr>
            <w:noProof/>
            <w:webHidden/>
          </w:rPr>
          <w:fldChar w:fldCharType="begin"/>
        </w:r>
        <w:r>
          <w:rPr>
            <w:noProof/>
            <w:webHidden/>
          </w:rPr>
          <w:instrText xml:space="preserve"> PAGEREF _Toc493516869 \h </w:instrText>
        </w:r>
        <w:r>
          <w:rPr>
            <w:noProof/>
            <w:webHidden/>
          </w:rPr>
        </w:r>
        <w:r>
          <w:rPr>
            <w:noProof/>
            <w:webHidden/>
          </w:rPr>
          <w:fldChar w:fldCharType="separate"/>
        </w:r>
        <w:r>
          <w:rPr>
            <w:noProof/>
            <w:webHidden/>
          </w:rPr>
          <w:t>24</w:t>
        </w:r>
        <w:r>
          <w:rPr>
            <w:noProof/>
            <w:webHidden/>
          </w:rPr>
          <w:fldChar w:fldCharType="end"/>
        </w:r>
      </w:hyperlink>
    </w:p>
    <w:p w14:paraId="06046C4B" w14:textId="0E2A708A" w:rsidR="00937042" w:rsidRDefault="00937042">
      <w:pPr>
        <w:pStyle w:val="TOC2"/>
        <w:rPr>
          <w:rFonts w:asciiTheme="minorHAnsi" w:eastAsiaTheme="minorEastAsia" w:hAnsiTheme="minorHAnsi" w:cstheme="minorBidi"/>
          <w:noProof/>
          <w:sz w:val="22"/>
          <w:szCs w:val="22"/>
        </w:rPr>
      </w:pPr>
      <w:hyperlink w:anchor="_Toc493516870" w:history="1">
        <w:r w:rsidRPr="00E118B0">
          <w:rPr>
            <w:rStyle w:val="Hyperlink"/>
            <w:noProof/>
          </w:rPr>
          <w:t>Ancillary Services (AS)</w:t>
        </w:r>
        <w:r>
          <w:rPr>
            <w:noProof/>
            <w:webHidden/>
          </w:rPr>
          <w:tab/>
        </w:r>
        <w:r>
          <w:rPr>
            <w:noProof/>
            <w:webHidden/>
          </w:rPr>
          <w:fldChar w:fldCharType="begin"/>
        </w:r>
        <w:r>
          <w:rPr>
            <w:noProof/>
            <w:webHidden/>
          </w:rPr>
          <w:instrText xml:space="preserve"> PAGEREF _Toc493516870 \h </w:instrText>
        </w:r>
        <w:r>
          <w:rPr>
            <w:noProof/>
            <w:webHidden/>
          </w:rPr>
        </w:r>
        <w:r>
          <w:rPr>
            <w:noProof/>
            <w:webHidden/>
          </w:rPr>
          <w:fldChar w:fldCharType="separate"/>
        </w:r>
        <w:r>
          <w:rPr>
            <w:noProof/>
            <w:webHidden/>
          </w:rPr>
          <w:t>25</w:t>
        </w:r>
        <w:r>
          <w:rPr>
            <w:noProof/>
            <w:webHidden/>
          </w:rPr>
          <w:fldChar w:fldCharType="end"/>
        </w:r>
      </w:hyperlink>
    </w:p>
    <w:p w14:paraId="72BB36E9" w14:textId="25272310" w:rsidR="00937042" w:rsidRDefault="00937042">
      <w:pPr>
        <w:pStyle w:val="TOC2"/>
        <w:rPr>
          <w:rFonts w:asciiTheme="minorHAnsi" w:eastAsiaTheme="minorEastAsia" w:hAnsiTheme="minorHAnsi" w:cstheme="minorBidi"/>
          <w:noProof/>
          <w:sz w:val="22"/>
          <w:szCs w:val="22"/>
        </w:rPr>
      </w:pPr>
      <w:hyperlink w:anchor="_Toc493516871" w:history="1">
        <w:r w:rsidRPr="00E118B0">
          <w:rPr>
            <w:rStyle w:val="Hyperlink"/>
            <w:noProof/>
          </w:rPr>
          <w:t>T&amp;D Capacity</w:t>
        </w:r>
        <w:r>
          <w:rPr>
            <w:noProof/>
            <w:webHidden/>
          </w:rPr>
          <w:tab/>
        </w:r>
        <w:r>
          <w:rPr>
            <w:noProof/>
            <w:webHidden/>
          </w:rPr>
          <w:fldChar w:fldCharType="begin"/>
        </w:r>
        <w:r>
          <w:rPr>
            <w:noProof/>
            <w:webHidden/>
          </w:rPr>
          <w:instrText xml:space="preserve"> PAGEREF _Toc493516871 \h </w:instrText>
        </w:r>
        <w:r>
          <w:rPr>
            <w:noProof/>
            <w:webHidden/>
          </w:rPr>
        </w:r>
        <w:r>
          <w:rPr>
            <w:noProof/>
            <w:webHidden/>
          </w:rPr>
          <w:fldChar w:fldCharType="separate"/>
        </w:r>
        <w:r>
          <w:rPr>
            <w:noProof/>
            <w:webHidden/>
          </w:rPr>
          <w:t>26</w:t>
        </w:r>
        <w:r>
          <w:rPr>
            <w:noProof/>
            <w:webHidden/>
          </w:rPr>
          <w:fldChar w:fldCharType="end"/>
        </w:r>
      </w:hyperlink>
    </w:p>
    <w:p w14:paraId="1336754B" w14:textId="64A26A65" w:rsidR="00937042" w:rsidRDefault="00937042">
      <w:pPr>
        <w:pStyle w:val="TOC3"/>
        <w:rPr>
          <w:rFonts w:asciiTheme="minorHAnsi" w:eastAsiaTheme="minorEastAsia" w:hAnsiTheme="minorHAnsi" w:cstheme="minorBidi"/>
          <w:noProof/>
          <w:sz w:val="22"/>
          <w:szCs w:val="22"/>
        </w:rPr>
      </w:pPr>
      <w:hyperlink w:anchor="_Toc493516872" w:history="1">
        <w:r w:rsidRPr="00E118B0">
          <w:rPr>
            <w:rStyle w:val="Hyperlink"/>
            <w:noProof/>
          </w:rPr>
          <w:t>Hourly allocation of T&amp;D capacity cost</w:t>
        </w:r>
        <w:r>
          <w:rPr>
            <w:noProof/>
            <w:webHidden/>
          </w:rPr>
          <w:tab/>
        </w:r>
        <w:r>
          <w:rPr>
            <w:noProof/>
            <w:webHidden/>
          </w:rPr>
          <w:fldChar w:fldCharType="begin"/>
        </w:r>
        <w:r>
          <w:rPr>
            <w:noProof/>
            <w:webHidden/>
          </w:rPr>
          <w:instrText xml:space="preserve"> PAGEREF _Toc493516872 \h </w:instrText>
        </w:r>
        <w:r>
          <w:rPr>
            <w:noProof/>
            <w:webHidden/>
          </w:rPr>
        </w:r>
        <w:r>
          <w:rPr>
            <w:noProof/>
            <w:webHidden/>
          </w:rPr>
          <w:fldChar w:fldCharType="separate"/>
        </w:r>
        <w:r>
          <w:rPr>
            <w:noProof/>
            <w:webHidden/>
          </w:rPr>
          <w:t>29</w:t>
        </w:r>
        <w:r>
          <w:rPr>
            <w:noProof/>
            <w:webHidden/>
          </w:rPr>
          <w:fldChar w:fldCharType="end"/>
        </w:r>
      </w:hyperlink>
    </w:p>
    <w:p w14:paraId="2B3E8069" w14:textId="195EB9ED" w:rsidR="00937042" w:rsidRDefault="00937042">
      <w:pPr>
        <w:pStyle w:val="TOC2"/>
        <w:rPr>
          <w:rFonts w:asciiTheme="minorHAnsi" w:eastAsiaTheme="minorEastAsia" w:hAnsiTheme="minorHAnsi" w:cstheme="minorBidi"/>
          <w:noProof/>
          <w:sz w:val="22"/>
          <w:szCs w:val="22"/>
        </w:rPr>
      </w:pPr>
      <w:hyperlink w:anchor="_Toc493516873" w:history="1">
        <w:r w:rsidRPr="00E118B0">
          <w:rPr>
            <w:rStyle w:val="Hyperlink"/>
            <w:noProof/>
          </w:rPr>
          <w:t>Monetized Carbon (Cap &amp; Trade)</w:t>
        </w:r>
        <w:r>
          <w:rPr>
            <w:noProof/>
            <w:webHidden/>
          </w:rPr>
          <w:tab/>
        </w:r>
        <w:r>
          <w:rPr>
            <w:noProof/>
            <w:webHidden/>
          </w:rPr>
          <w:fldChar w:fldCharType="begin"/>
        </w:r>
        <w:r>
          <w:rPr>
            <w:noProof/>
            <w:webHidden/>
          </w:rPr>
          <w:instrText xml:space="preserve"> PAGEREF _Toc493516873 \h </w:instrText>
        </w:r>
        <w:r>
          <w:rPr>
            <w:noProof/>
            <w:webHidden/>
          </w:rPr>
        </w:r>
        <w:r>
          <w:rPr>
            <w:noProof/>
            <w:webHidden/>
          </w:rPr>
          <w:fldChar w:fldCharType="separate"/>
        </w:r>
        <w:r>
          <w:rPr>
            <w:noProof/>
            <w:webHidden/>
          </w:rPr>
          <w:t>33</w:t>
        </w:r>
        <w:r>
          <w:rPr>
            <w:noProof/>
            <w:webHidden/>
          </w:rPr>
          <w:fldChar w:fldCharType="end"/>
        </w:r>
      </w:hyperlink>
    </w:p>
    <w:p w14:paraId="17D0FE89" w14:textId="35235982" w:rsidR="00937042" w:rsidRDefault="00937042">
      <w:pPr>
        <w:pStyle w:val="TOC2"/>
        <w:rPr>
          <w:rFonts w:asciiTheme="minorHAnsi" w:eastAsiaTheme="minorEastAsia" w:hAnsiTheme="minorHAnsi" w:cstheme="minorBidi"/>
          <w:noProof/>
          <w:sz w:val="22"/>
          <w:szCs w:val="22"/>
        </w:rPr>
      </w:pPr>
      <w:hyperlink w:anchor="_Toc493516874" w:history="1">
        <w:r w:rsidRPr="00E118B0">
          <w:rPr>
            <w:rStyle w:val="Hyperlink"/>
            <w:noProof/>
          </w:rPr>
          <w:t>Avoided RPS Cost</w:t>
        </w:r>
        <w:r>
          <w:rPr>
            <w:noProof/>
            <w:webHidden/>
          </w:rPr>
          <w:tab/>
        </w:r>
        <w:r>
          <w:rPr>
            <w:noProof/>
            <w:webHidden/>
          </w:rPr>
          <w:fldChar w:fldCharType="begin"/>
        </w:r>
        <w:r>
          <w:rPr>
            <w:noProof/>
            <w:webHidden/>
          </w:rPr>
          <w:instrText xml:space="preserve"> PAGEREF _Toc493516874 \h </w:instrText>
        </w:r>
        <w:r>
          <w:rPr>
            <w:noProof/>
            <w:webHidden/>
          </w:rPr>
        </w:r>
        <w:r>
          <w:rPr>
            <w:noProof/>
            <w:webHidden/>
          </w:rPr>
          <w:fldChar w:fldCharType="separate"/>
        </w:r>
        <w:r>
          <w:rPr>
            <w:noProof/>
            <w:webHidden/>
          </w:rPr>
          <w:t>36</w:t>
        </w:r>
        <w:r>
          <w:rPr>
            <w:noProof/>
            <w:webHidden/>
          </w:rPr>
          <w:fldChar w:fldCharType="end"/>
        </w:r>
      </w:hyperlink>
    </w:p>
    <w:p w14:paraId="47C17EB3" w14:textId="0F665F8A" w:rsidR="00937042" w:rsidRDefault="00937042">
      <w:pPr>
        <w:pStyle w:val="TOC2"/>
        <w:rPr>
          <w:rFonts w:asciiTheme="minorHAnsi" w:eastAsiaTheme="minorEastAsia" w:hAnsiTheme="minorHAnsi" w:cstheme="minorBidi"/>
          <w:noProof/>
          <w:sz w:val="22"/>
          <w:szCs w:val="22"/>
        </w:rPr>
      </w:pPr>
      <w:hyperlink w:anchor="_Toc493516875" w:history="1">
        <w:r w:rsidRPr="00E118B0">
          <w:rPr>
            <w:rStyle w:val="Hyperlink"/>
            <w:noProof/>
          </w:rPr>
          <w:t>Greenhouse Gas Adder</w:t>
        </w:r>
        <w:r>
          <w:rPr>
            <w:noProof/>
            <w:webHidden/>
          </w:rPr>
          <w:tab/>
        </w:r>
        <w:r>
          <w:rPr>
            <w:noProof/>
            <w:webHidden/>
          </w:rPr>
          <w:fldChar w:fldCharType="begin"/>
        </w:r>
        <w:r>
          <w:rPr>
            <w:noProof/>
            <w:webHidden/>
          </w:rPr>
          <w:instrText xml:space="preserve"> PAGEREF _Toc493516875 \h </w:instrText>
        </w:r>
        <w:r>
          <w:rPr>
            <w:noProof/>
            <w:webHidden/>
          </w:rPr>
        </w:r>
        <w:r>
          <w:rPr>
            <w:noProof/>
            <w:webHidden/>
          </w:rPr>
          <w:fldChar w:fldCharType="separate"/>
        </w:r>
        <w:r>
          <w:rPr>
            <w:noProof/>
            <w:webHidden/>
          </w:rPr>
          <w:t>38</w:t>
        </w:r>
        <w:r>
          <w:rPr>
            <w:noProof/>
            <w:webHidden/>
          </w:rPr>
          <w:fldChar w:fldCharType="end"/>
        </w:r>
      </w:hyperlink>
    </w:p>
    <w:p w14:paraId="652663F4" w14:textId="1A2FFF9F" w:rsidR="00937042" w:rsidRDefault="00937042">
      <w:pPr>
        <w:pStyle w:val="TOC2"/>
        <w:rPr>
          <w:rFonts w:asciiTheme="minorHAnsi" w:eastAsiaTheme="minorEastAsia" w:hAnsiTheme="minorHAnsi" w:cstheme="minorBidi"/>
          <w:noProof/>
          <w:sz w:val="22"/>
          <w:szCs w:val="22"/>
        </w:rPr>
      </w:pPr>
      <w:hyperlink w:anchor="_Toc493516876" w:history="1">
        <w:r w:rsidRPr="00E118B0">
          <w:rPr>
            <w:rStyle w:val="Hyperlink"/>
            <w:noProof/>
          </w:rPr>
          <w:t>Components Not Included</w:t>
        </w:r>
        <w:r>
          <w:rPr>
            <w:noProof/>
            <w:webHidden/>
          </w:rPr>
          <w:tab/>
        </w:r>
        <w:r>
          <w:rPr>
            <w:noProof/>
            <w:webHidden/>
          </w:rPr>
          <w:fldChar w:fldCharType="begin"/>
        </w:r>
        <w:r>
          <w:rPr>
            <w:noProof/>
            <w:webHidden/>
          </w:rPr>
          <w:instrText xml:space="preserve"> PAGEREF _Toc493516876 \h </w:instrText>
        </w:r>
        <w:r>
          <w:rPr>
            <w:noProof/>
            <w:webHidden/>
          </w:rPr>
        </w:r>
        <w:r>
          <w:rPr>
            <w:noProof/>
            <w:webHidden/>
          </w:rPr>
          <w:fldChar w:fldCharType="separate"/>
        </w:r>
        <w:r>
          <w:rPr>
            <w:noProof/>
            <w:webHidden/>
          </w:rPr>
          <w:t>41</w:t>
        </w:r>
        <w:r>
          <w:rPr>
            <w:noProof/>
            <w:webHidden/>
          </w:rPr>
          <w:fldChar w:fldCharType="end"/>
        </w:r>
      </w:hyperlink>
    </w:p>
    <w:p w14:paraId="0CD57A0F" w14:textId="362A007F" w:rsidR="00937042" w:rsidRDefault="00937042">
      <w:pPr>
        <w:pStyle w:val="TOC1"/>
        <w:rPr>
          <w:rFonts w:asciiTheme="minorHAnsi" w:eastAsiaTheme="minorEastAsia" w:hAnsiTheme="minorHAnsi" w:cstheme="minorBidi"/>
          <w:noProof/>
          <w:sz w:val="22"/>
          <w:szCs w:val="22"/>
        </w:rPr>
      </w:pPr>
      <w:hyperlink w:anchor="_Toc493516877" w:history="1">
        <w:r w:rsidRPr="00E118B0">
          <w:rPr>
            <w:rStyle w:val="Hyperlink"/>
            <w:noProof/>
          </w:rPr>
          <w:t>Comparison of the Updated EE Avoided Costs to Current EE Avoided Costs</w:t>
        </w:r>
        <w:r>
          <w:rPr>
            <w:noProof/>
            <w:webHidden/>
          </w:rPr>
          <w:tab/>
        </w:r>
        <w:r>
          <w:rPr>
            <w:noProof/>
            <w:webHidden/>
          </w:rPr>
          <w:fldChar w:fldCharType="begin"/>
        </w:r>
        <w:r>
          <w:rPr>
            <w:noProof/>
            <w:webHidden/>
          </w:rPr>
          <w:instrText xml:space="preserve"> PAGEREF _Toc493516877 \h </w:instrText>
        </w:r>
        <w:r>
          <w:rPr>
            <w:noProof/>
            <w:webHidden/>
          </w:rPr>
        </w:r>
        <w:r>
          <w:rPr>
            <w:noProof/>
            <w:webHidden/>
          </w:rPr>
          <w:fldChar w:fldCharType="separate"/>
        </w:r>
        <w:r>
          <w:rPr>
            <w:noProof/>
            <w:webHidden/>
          </w:rPr>
          <w:t>43</w:t>
        </w:r>
        <w:r>
          <w:rPr>
            <w:noProof/>
            <w:webHidden/>
          </w:rPr>
          <w:fldChar w:fldCharType="end"/>
        </w:r>
      </w:hyperlink>
    </w:p>
    <w:p w14:paraId="74B852EF" w14:textId="6A7B4478" w:rsidR="00937042" w:rsidRDefault="00937042">
      <w:pPr>
        <w:pStyle w:val="TOC1"/>
        <w:rPr>
          <w:rFonts w:asciiTheme="minorHAnsi" w:eastAsiaTheme="minorEastAsia" w:hAnsiTheme="minorHAnsi" w:cstheme="minorBidi"/>
          <w:noProof/>
          <w:sz w:val="22"/>
          <w:szCs w:val="22"/>
        </w:rPr>
      </w:pPr>
      <w:hyperlink w:anchor="_Toc493516878" w:history="1">
        <w:r w:rsidRPr="00E118B0">
          <w:rPr>
            <w:rStyle w:val="Hyperlink"/>
            <w:noProof/>
          </w:rPr>
          <w:t>Appendix: Key Data Sources and Specific Methodology</w:t>
        </w:r>
        <w:r>
          <w:rPr>
            <w:noProof/>
            <w:webHidden/>
          </w:rPr>
          <w:tab/>
        </w:r>
        <w:r>
          <w:rPr>
            <w:noProof/>
            <w:webHidden/>
          </w:rPr>
          <w:fldChar w:fldCharType="begin"/>
        </w:r>
        <w:r>
          <w:rPr>
            <w:noProof/>
            <w:webHidden/>
          </w:rPr>
          <w:instrText xml:space="preserve"> PAGEREF _Toc493516878 \h </w:instrText>
        </w:r>
        <w:r>
          <w:rPr>
            <w:noProof/>
            <w:webHidden/>
          </w:rPr>
        </w:r>
        <w:r>
          <w:rPr>
            <w:noProof/>
            <w:webHidden/>
          </w:rPr>
          <w:fldChar w:fldCharType="separate"/>
        </w:r>
        <w:r>
          <w:rPr>
            <w:noProof/>
            <w:webHidden/>
          </w:rPr>
          <w:t>47</w:t>
        </w:r>
        <w:r>
          <w:rPr>
            <w:noProof/>
            <w:webHidden/>
          </w:rPr>
          <w:fldChar w:fldCharType="end"/>
        </w:r>
      </w:hyperlink>
    </w:p>
    <w:p w14:paraId="5E529196" w14:textId="425FAE2D" w:rsidR="00937042" w:rsidRDefault="00937042">
      <w:pPr>
        <w:pStyle w:val="TOC2"/>
        <w:rPr>
          <w:rFonts w:asciiTheme="minorHAnsi" w:eastAsiaTheme="minorEastAsia" w:hAnsiTheme="minorHAnsi" w:cstheme="minorBidi"/>
          <w:noProof/>
          <w:sz w:val="22"/>
          <w:szCs w:val="22"/>
        </w:rPr>
      </w:pPr>
      <w:hyperlink w:anchor="_Toc493516879" w:history="1">
        <w:r w:rsidRPr="00E118B0">
          <w:rPr>
            <w:rStyle w:val="Hyperlink"/>
            <w:noProof/>
          </w:rPr>
          <w:t>Power plant cost assumptions</w:t>
        </w:r>
        <w:r>
          <w:rPr>
            <w:noProof/>
            <w:webHidden/>
          </w:rPr>
          <w:tab/>
        </w:r>
        <w:r>
          <w:rPr>
            <w:noProof/>
            <w:webHidden/>
          </w:rPr>
          <w:fldChar w:fldCharType="begin"/>
        </w:r>
        <w:r>
          <w:rPr>
            <w:noProof/>
            <w:webHidden/>
          </w:rPr>
          <w:instrText xml:space="preserve"> PAGEREF _Toc493516879 \h </w:instrText>
        </w:r>
        <w:r>
          <w:rPr>
            <w:noProof/>
            <w:webHidden/>
          </w:rPr>
        </w:r>
        <w:r>
          <w:rPr>
            <w:noProof/>
            <w:webHidden/>
          </w:rPr>
          <w:fldChar w:fldCharType="separate"/>
        </w:r>
        <w:r>
          <w:rPr>
            <w:noProof/>
            <w:webHidden/>
          </w:rPr>
          <w:t>47</w:t>
        </w:r>
        <w:r>
          <w:rPr>
            <w:noProof/>
            <w:webHidden/>
          </w:rPr>
          <w:fldChar w:fldCharType="end"/>
        </w:r>
      </w:hyperlink>
    </w:p>
    <w:p w14:paraId="20A7FD96" w14:textId="4D32C00F" w:rsidR="00937042" w:rsidRDefault="00937042">
      <w:pPr>
        <w:pStyle w:val="TOC2"/>
        <w:rPr>
          <w:rFonts w:asciiTheme="minorHAnsi" w:eastAsiaTheme="minorEastAsia" w:hAnsiTheme="minorHAnsi" w:cstheme="minorBidi"/>
          <w:noProof/>
          <w:sz w:val="22"/>
          <w:szCs w:val="22"/>
        </w:rPr>
      </w:pPr>
      <w:hyperlink w:anchor="_Toc493516880" w:history="1">
        <w:r w:rsidRPr="00E118B0">
          <w:rPr>
            <w:rStyle w:val="Hyperlink"/>
            <w:noProof/>
          </w:rPr>
          <w:t>Generation Loss Factors</w:t>
        </w:r>
        <w:r>
          <w:rPr>
            <w:noProof/>
            <w:webHidden/>
          </w:rPr>
          <w:tab/>
        </w:r>
        <w:r>
          <w:rPr>
            <w:noProof/>
            <w:webHidden/>
          </w:rPr>
          <w:fldChar w:fldCharType="begin"/>
        </w:r>
        <w:r>
          <w:rPr>
            <w:noProof/>
            <w:webHidden/>
          </w:rPr>
          <w:instrText xml:space="preserve"> PAGEREF _Toc493516880 \h </w:instrText>
        </w:r>
        <w:r>
          <w:rPr>
            <w:noProof/>
            <w:webHidden/>
          </w:rPr>
        </w:r>
        <w:r>
          <w:rPr>
            <w:noProof/>
            <w:webHidden/>
          </w:rPr>
          <w:fldChar w:fldCharType="separate"/>
        </w:r>
        <w:r>
          <w:rPr>
            <w:noProof/>
            <w:webHidden/>
          </w:rPr>
          <w:t>48</w:t>
        </w:r>
        <w:r>
          <w:rPr>
            <w:noProof/>
            <w:webHidden/>
          </w:rPr>
          <w:fldChar w:fldCharType="end"/>
        </w:r>
      </w:hyperlink>
    </w:p>
    <w:p w14:paraId="67B83204" w14:textId="5F445540" w:rsidR="00937042" w:rsidRDefault="00937042">
      <w:pPr>
        <w:pStyle w:val="TOC2"/>
        <w:rPr>
          <w:rFonts w:asciiTheme="minorHAnsi" w:eastAsiaTheme="minorEastAsia" w:hAnsiTheme="minorHAnsi" w:cstheme="minorBidi"/>
          <w:noProof/>
          <w:sz w:val="22"/>
          <w:szCs w:val="22"/>
        </w:rPr>
      </w:pPr>
      <w:hyperlink w:anchor="_Toc493516881" w:history="1">
        <w:r w:rsidRPr="00E118B0">
          <w:rPr>
            <w:rStyle w:val="Hyperlink"/>
            <w:noProof/>
          </w:rPr>
          <w:t>Climate Zones</w:t>
        </w:r>
        <w:r>
          <w:rPr>
            <w:noProof/>
            <w:webHidden/>
          </w:rPr>
          <w:tab/>
        </w:r>
        <w:r>
          <w:rPr>
            <w:noProof/>
            <w:webHidden/>
          </w:rPr>
          <w:fldChar w:fldCharType="begin"/>
        </w:r>
        <w:r>
          <w:rPr>
            <w:noProof/>
            <w:webHidden/>
          </w:rPr>
          <w:instrText xml:space="preserve"> PAGEREF _Toc493516881 \h </w:instrText>
        </w:r>
        <w:r>
          <w:rPr>
            <w:noProof/>
            <w:webHidden/>
          </w:rPr>
        </w:r>
        <w:r>
          <w:rPr>
            <w:noProof/>
            <w:webHidden/>
          </w:rPr>
          <w:fldChar w:fldCharType="separate"/>
        </w:r>
        <w:r>
          <w:rPr>
            <w:noProof/>
            <w:webHidden/>
          </w:rPr>
          <w:t>50</w:t>
        </w:r>
        <w:r>
          <w:rPr>
            <w:noProof/>
            <w:webHidden/>
          </w:rPr>
          <w:fldChar w:fldCharType="end"/>
        </w:r>
      </w:hyperlink>
    </w:p>
    <w:p w14:paraId="2063AB15" w14:textId="64623503" w:rsidR="00937042" w:rsidRDefault="00937042">
      <w:pPr>
        <w:pStyle w:val="TOC2"/>
        <w:rPr>
          <w:rFonts w:asciiTheme="minorHAnsi" w:eastAsiaTheme="minorEastAsia" w:hAnsiTheme="minorHAnsi" w:cstheme="minorBidi"/>
          <w:noProof/>
          <w:sz w:val="22"/>
          <w:szCs w:val="22"/>
        </w:rPr>
      </w:pPr>
      <w:hyperlink w:anchor="_Toc493516882" w:history="1">
        <w:r w:rsidRPr="00E118B0">
          <w:rPr>
            <w:rStyle w:val="Hyperlink"/>
            <w:noProof/>
          </w:rPr>
          <w:t>T&amp;D Allocation Factors</w:t>
        </w:r>
        <w:r>
          <w:rPr>
            <w:noProof/>
            <w:webHidden/>
          </w:rPr>
          <w:tab/>
        </w:r>
        <w:r>
          <w:rPr>
            <w:noProof/>
            <w:webHidden/>
          </w:rPr>
          <w:fldChar w:fldCharType="begin"/>
        </w:r>
        <w:r>
          <w:rPr>
            <w:noProof/>
            <w:webHidden/>
          </w:rPr>
          <w:instrText xml:space="preserve"> PAGEREF _Toc493516882 \h </w:instrText>
        </w:r>
        <w:r>
          <w:rPr>
            <w:noProof/>
            <w:webHidden/>
          </w:rPr>
        </w:r>
        <w:r>
          <w:rPr>
            <w:noProof/>
            <w:webHidden/>
          </w:rPr>
          <w:fldChar w:fldCharType="separate"/>
        </w:r>
        <w:r>
          <w:rPr>
            <w:noProof/>
            <w:webHidden/>
          </w:rPr>
          <w:t>51</w:t>
        </w:r>
        <w:r>
          <w:rPr>
            <w:noProof/>
            <w:webHidden/>
          </w:rPr>
          <w:fldChar w:fldCharType="end"/>
        </w:r>
      </w:hyperlink>
    </w:p>
    <w:p w14:paraId="2AA70020" w14:textId="257246A4" w:rsidR="00937042" w:rsidRDefault="00937042">
      <w:pPr>
        <w:pStyle w:val="TOC2"/>
        <w:rPr>
          <w:rFonts w:asciiTheme="minorHAnsi" w:eastAsiaTheme="minorEastAsia" w:hAnsiTheme="minorHAnsi" w:cstheme="minorBidi"/>
          <w:noProof/>
          <w:sz w:val="22"/>
          <w:szCs w:val="22"/>
        </w:rPr>
      </w:pPr>
      <w:hyperlink w:anchor="_Toc493516883" w:history="1">
        <w:r w:rsidRPr="00E118B0">
          <w:rPr>
            <w:rStyle w:val="Hyperlink"/>
            <w:noProof/>
          </w:rPr>
          <w:t>Distribution Load Simulation Regression Model Specifications</w:t>
        </w:r>
        <w:r>
          <w:rPr>
            <w:noProof/>
            <w:webHidden/>
          </w:rPr>
          <w:tab/>
        </w:r>
        <w:r>
          <w:rPr>
            <w:noProof/>
            <w:webHidden/>
          </w:rPr>
          <w:fldChar w:fldCharType="begin"/>
        </w:r>
        <w:r>
          <w:rPr>
            <w:noProof/>
            <w:webHidden/>
          </w:rPr>
          <w:instrText xml:space="preserve"> PAGEREF _Toc493516883 \h </w:instrText>
        </w:r>
        <w:r>
          <w:rPr>
            <w:noProof/>
            <w:webHidden/>
          </w:rPr>
        </w:r>
        <w:r>
          <w:rPr>
            <w:noProof/>
            <w:webHidden/>
          </w:rPr>
          <w:fldChar w:fldCharType="separate"/>
        </w:r>
        <w:r>
          <w:rPr>
            <w:noProof/>
            <w:webHidden/>
          </w:rPr>
          <w:t>70</w:t>
        </w:r>
        <w:r>
          <w:rPr>
            <w:noProof/>
            <w:webHidden/>
          </w:rPr>
          <w:fldChar w:fldCharType="end"/>
        </w:r>
      </w:hyperlink>
    </w:p>
    <w:p w14:paraId="63BC87A4" w14:textId="63D44B78" w:rsidR="00937042" w:rsidRDefault="00937042">
      <w:pPr>
        <w:pStyle w:val="TOC1"/>
        <w:rPr>
          <w:rFonts w:asciiTheme="minorHAnsi" w:eastAsiaTheme="minorEastAsia" w:hAnsiTheme="minorHAnsi" w:cstheme="minorBidi"/>
          <w:noProof/>
          <w:sz w:val="22"/>
          <w:szCs w:val="22"/>
        </w:rPr>
      </w:pPr>
      <w:hyperlink w:anchor="_Toc493516884" w:history="1">
        <w:r w:rsidRPr="00E118B0">
          <w:rPr>
            <w:rStyle w:val="Hyperlink"/>
            <w:noProof/>
          </w:rPr>
          <w:t>User Quick Guide   ACC 2016 v1</w:t>
        </w:r>
        <w:r>
          <w:rPr>
            <w:noProof/>
            <w:webHidden/>
          </w:rPr>
          <w:tab/>
        </w:r>
        <w:r>
          <w:rPr>
            <w:noProof/>
            <w:webHidden/>
          </w:rPr>
          <w:fldChar w:fldCharType="begin"/>
        </w:r>
        <w:r>
          <w:rPr>
            <w:noProof/>
            <w:webHidden/>
          </w:rPr>
          <w:instrText xml:space="preserve"> PAGEREF _Toc493516884 \h </w:instrText>
        </w:r>
        <w:r>
          <w:rPr>
            <w:noProof/>
            <w:webHidden/>
          </w:rPr>
        </w:r>
        <w:r>
          <w:rPr>
            <w:noProof/>
            <w:webHidden/>
          </w:rPr>
          <w:fldChar w:fldCharType="separate"/>
        </w:r>
        <w:r>
          <w:rPr>
            <w:noProof/>
            <w:webHidden/>
          </w:rPr>
          <w:t>84</w:t>
        </w:r>
        <w:r>
          <w:rPr>
            <w:noProof/>
            <w:webHidden/>
          </w:rPr>
          <w:fldChar w:fldCharType="end"/>
        </w:r>
      </w:hyperlink>
    </w:p>
    <w:p w14:paraId="52AC8B60" w14:textId="01479703" w:rsidR="00937042" w:rsidRDefault="00937042">
      <w:pPr>
        <w:pStyle w:val="TOC2"/>
        <w:rPr>
          <w:rFonts w:asciiTheme="minorHAnsi" w:eastAsiaTheme="minorEastAsia" w:hAnsiTheme="minorHAnsi" w:cstheme="minorBidi"/>
          <w:noProof/>
          <w:sz w:val="22"/>
          <w:szCs w:val="22"/>
        </w:rPr>
      </w:pPr>
      <w:hyperlink w:anchor="_Toc493516885" w:history="1">
        <w:r w:rsidRPr="00E118B0">
          <w:rPr>
            <w:rStyle w:val="Hyperlink"/>
            <w:noProof/>
          </w:rPr>
          <w:t>Purpose</w:t>
        </w:r>
        <w:r>
          <w:rPr>
            <w:noProof/>
            <w:webHidden/>
          </w:rPr>
          <w:tab/>
        </w:r>
        <w:r>
          <w:rPr>
            <w:noProof/>
            <w:webHidden/>
          </w:rPr>
          <w:fldChar w:fldCharType="begin"/>
        </w:r>
        <w:r>
          <w:rPr>
            <w:noProof/>
            <w:webHidden/>
          </w:rPr>
          <w:instrText xml:space="preserve"> PAGEREF _Toc493516885 \h </w:instrText>
        </w:r>
        <w:r>
          <w:rPr>
            <w:noProof/>
            <w:webHidden/>
          </w:rPr>
        </w:r>
        <w:r>
          <w:rPr>
            <w:noProof/>
            <w:webHidden/>
          </w:rPr>
          <w:fldChar w:fldCharType="separate"/>
        </w:r>
        <w:r>
          <w:rPr>
            <w:noProof/>
            <w:webHidden/>
          </w:rPr>
          <w:t>84</w:t>
        </w:r>
        <w:r>
          <w:rPr>
            <w:noProof/>
            <w:webHidden/>
          </w:rPr>
          <w:fldChar w:fldCharType="end"/>
        </w:r>
      </w:hyperlink>
    </w:p>
    <w:p w14:paraId="406BB1D3" w14:textId="3045DA3E" w:rsidR="00937042" w:rsidRDefault="00937042">
      <w:pPr>
        <w:pStyle w:val="TOC2"/>
        <w:rPr>
          <w:rFonts w:asciiTheme="minorHAnsi" w:eastAsiaTheme="minorEastAsia" w:hAnsiTheme="minorHAnsi" w:cstheme="minorBidi"/>
          <w:noProof/>
          <w:sz w:val="22"/>
          <w:szCs w:val="22"/>
        </w:rPr>
      </w:pPr>
      <w:hyperlink w:anchor="_Toc493516886" w:history="1">
        <w:r w:rsidRPr="00E118B0">
          <w:rPr>
            <w:rStyle w:val="Hyperlink"/>
            <w:noProof/>
          </w:rPr>
          <w:t>Using the Model</w:t>
        </w:r>
        <w:r>
          <w:rPr>
            <w:noProof/>
            <w:webHidden/>
          </w:rPr>
          <w:tab/>
        </w:r>
        <w:r>
          <w:rPr>
            <w:noProof/>
            <w:webHidden/>
          </w:rPr>
          <w:fldChar w:fldCharType="begin"/>
        </w:r>
        <w:r>
          <w:rPr>
            <w:noProof/>
            <w:webHidden/>
          </w:rPr>
          <w:instrText xml:space="preserve"> PAGEREF _Toc493516886 \h </w:instrText>
        </w:r>
        <w:r>
          <w:rPr>
            <w:noProof/>
            <w:webHidden/>
          </w:rPr>
        </w:r>
        <w:r>
          <w:rPr>
            <w:noProof/>
            <w:webHidden/>
          </w:rPr>
          <w:fldChar w:fldCharType="separate"/>
        </w:r>
        <w:r>
          <w:rPr>
            <w:noProof/>
            <w:webHidden/>
          </w:rPr>
          <w:t>84</w:t>
        </w:r>
        <w:r>
          <w:rPr>
            <w:noProof/>
            <w:webHidden/>
          </w:rPr>
          <w:fldChar w:fldCharType="end"/>
        </w:r>
      </w:hyperlink>
    </w:p>
    <w:p w14:paraId="7E91BE38" w14:textId="69A2F0BE" w:rsidR="00937042" w:rsidRDefault="00937042">
      <w:pPr>
        <w:pStyle w:val="TOC2"/>
        <w:rPr>
          <w:rFonts w:asciiTheme="minorHAnsi" w:eastAsiaTheme="minorEastAsia" w:hAnsiTheme="minorHAnsi" w:cstheme="minorBidi"/>
          <w:noProof/>
          <w:sz w:val="22"/>
          <w:szCs w:val="22"/>
        </w:rPr>
      </w:pPr>
      <w:hyperlink w:anchor="_Toc493516887" w:history="1">
        <w:r w:rsidRPr="00E118B0">
          <w:rPr>
            <w:rStyle w:val="Hyperlink"/>
            <w:noProof/>
          </w:rPr>
          <w:t>Exporting Hourly Results</w:t>
        </w:r>
        <w:r>
          <w:rPr>
            <w:noProof/>
            <w:webHidden/>
          </w:rPr>
          <w:tab/>
        </w:r>
        <w:r>
          <w:rPr>
            <w:noProof/>
            <w:webHidden/>
          </w:rPr>
          <w:fldChar w:fldCharType="begin"/>
        </w:r>
        <w:r>
          <w:rPr>
            <w:noProof/>
            <w:webHidden/>
          </w:rPr>
          <w:instrText xml:space="preserve"> PAGEREF _Toc493516887 \h </w:instrText>
        </w:r>
        <w:r>
          <w:rPr>
            <w:noProof/>
            <w:webHidden/>
          </w:rPr>
        </w:r>
        <w:r>
          <w:rPr>
            <w:noProof/>
            <w:webHidden/>
          </w:rPr>
          <w:fldChar w:fldCharType="separate"/>
        </w:r>
        <w:r>
          <w:rPr>
            <w:noProof/>
            <w:webHidden/>
          </w:rPr>
          <w:t>85</w:t>
        </w:r>
        <w:r>
          <w:rPr>
            <w:noProof/>
            <w:webHidden/>
          </w:rPr>
          <w:fldChar w:fldCharType="end"/>
        </w:r>
      </w:hyperlink>
    </w:p>
    <w:p w14:paraId="383B70FE" w14:textId="1D65CBD1" w:rsidR="00937042" w:rsidRDefault="00937042">
      <w:pPr>
        <w:pStyle w:val="TOC2"/>
        <w:rPr>
          <w:rFonts w:asciiTheme="minorHAnsi" w:eastAsiaTheme="minorEastAsia" w:hAnsiTheme="minorHAnsi" w:cstheme="minorBidi"/>
          <w:noProof/>
          <w:sz w:val="22"/>
          <w:szCs w:val="22"/>
        </w:rPr>
      </w:pPr>
      <w:hyperlink w:anchor="_Toc493516888" w:history="1">
        <w:r w:rsidRPr="00E118B0">
          <w:rPr>
            <w:rStyle w:val="Hyperlink"/>
            <w:noProof/>
          </w:rPr>
          <w:t>DR Reporting and PLS Tool Interface</w:t>
        </w:r>
        <w:r>
          <w:rPr>
            <w:noProof/>
            <w:webHidden/>
          </w:rPr>
          <w:tab/>
        </w:r>
        <w:r>
          <w:rPr>
            <w:noProof/>
            <w:webHidden/>
          </w:rPr>
          <w:fldChar w:fldCharType="begin"/>
        </w:r>
        <w:r>
          <w:rPr>
            <w:noProof/>
            <w:webHidden/>
          </w:rPr>
          <w:instrText xml:space="preserve"> PAGEREF _Toc493516888 \h </w:instrText>
        </w:r>
        <w:r>
          <w:rPr>
            <w:noProof/>
            <w:webHidden/>
          </w:rPr>
        </w:r>
        <w:r>
          <w:rPr>
            <w:noProof/>
            <w:webHidden/>
          </w:rPr>
          <w:fldChar w:fldCharType="separate"/>
        </w:r>
        <w:r>
          <w:rPr>
            <w:noProof/>
            <w:webHidden/>
          </w:rPr>
          <w:t>87</w:t>
        </w:r>
        <w:r>
          <w:rPr>
            <w:noProof/>
            <w:webHidden/>
          </w:rPr>
          <w:fldChar w:fldCharType="end"/>
        </w:r>
      </w:hyperlink>
    </w:p>
    <w:p w14:paraId="5B6A837C" w14:textId="7A86CC3D" w:rsidR="00937042" w:rsidRDefault="00937042">
      <w:pPr>
        <w:pStyle w:val="TOC2"/>
        <w:rPr>
          <w:rFonts w:asciiTheme="minorHAnsi" w:eastAsiaTheme="minorEastAsia" w:hAnsiTheme="minorHAnsi" w:cstheme="minorBidi"/>
          <w:noProof/>
          <w:sz w:val="22"/>
          <w:szCs w:val="22"/>
        </w:rPr>
      </w:pPr>
      <w:hyperlink w:anchor="_Toc493516889" w:history="1">
        <w:r w:rsidRPr="00E118B0">
          <w:rPr>
            <w:rStyle w:val="Hyperlink"/>
            <w:noProof/>
          </w:rPr>
          <w:t>Inputs</w:t>
        </w:r>
        <w:r>
          <w:rPr>
            <w:noProof/>
            <w:webHidden/>
          </w:rPr>
          <w:tab/>
        </w:r>
        <w:r>
          <w:rPr>
            <w:noProof/>
            <w:webHidden/>
          </w:rPr>
          <w:fldChar w:fldCharType="begin"/>
        </w:r>
        <w:r>
          <w:rPr>
            <w:noProof/>
            <w:webHidden/>
          </w:rPr>
          <w:instrText xml:space="preserve"> PAGEREF _Toc493516889 \h </w:instrText>
        </w:r>
        <w:r>
          <w:rPr>
            <w:noProof/>
            <w:webHidden/>
          </w:rPr>
        </w:r>
        <w:r>
          <w:rPr>
            <w:noProof/>
            <w:webHidden/>
          </w:rPr>
          <w:fldChar w:fldCharType="separate"/>
        </w:r>
        <w:r>
          <w:rPr>
            <w:noProof/>
            <w:webHidden/>
          </w:rPr>
          <w:t>88</w:t>
        </w:r>
        <w:r>
          <w:rPr>
            <w:noProof/>
            <w:webHidden/>
          </w:rPr>
          <w:fldChar w:fldCharType="end"/>
        </w:r>
      </w:hyperlink>
    </w:p>
    <w:p w14:paraId="20430344" w14:textId="6E93ACF2" w:rsidR="00937042" w:rsidRDefault="00937042">
      <w:pPr>
        <w:pStyle w:val="TOC2"/>
        <w:rPr>
          <w:rFonts w:asciiTheme="minorHAnsi" w:eastAsiaTheme="minorEastAsia" w:hAnsiTheme="minorHAnsi" w:cstheme="minorBidi"/>
          <w:noProof/>
          <w:sz w:val="22"/>
          <w:szCs w:val="22"/>
        </w:rPr>
      </w:pPr>
      <w:hyperlink w:anchor="_Toc493516890" w:history="1">
        <w:r w:rsidRPr="00E118B0">
          <w:rPr>
            <w:rStyle w:val="Hyperlink"/>
            <w:noProof/>
          </w:rPr>
          <w:t>Remaining tabs</w:t>
        </w:r>
        <w:r>
          <w:rPr>
            <w:noProof/>
            <w:webHidden/>
          </w:rPr>
          <w:tab/>
        </w:r>
        <w:r>
          <w:rPr>
            <w:noProof/>
            <w:webHidden/>
          </w:rPr>
          <w:fldChar w:fldCharType="begin"/>
        </w:r>
        <w:r>
          <w:rPr>
            <w:noProof/>
            <w:webHidden/>
          </w:rPr>
          <w:instrText xml:space="preserve"> PAGEREF _Toc493516890 \h </w:instrText>
        </w:r>
        <w:r>
          <w:rPr>
            <w:noProof/>
            <w:webHidden/>
          </w:rPr>
        </w:r>
        <w:r>
          <w:rPr>
            <w:noProof/>
            <w:webHidden/>
          </w:rPr>
          <w:fldChar w:fldCharType="separate"/>
        </w:r>
        <w:r>
          <w:rPr>
            <w:noProof/>
            <w:webHidden/>
          </w:rPr>
          <w:t>89</w:t>
        </w:r>
        <w:r>
          <w:rPr>
            <w:noProof/>
            <w:webHidden/>
          </w:rPr>
          <w:fldChar w:fldCharType="end"/>
        </w:r>
      </w:hyperlink>
    </w:p>
    <w:p w14:paraId="45E10BAA" w14:textId="442BB255" w:rsidR="00937042" w:rsidRDefault="00937042">
      <w:pPr>
        <w:pStyle w:val="TOC1"/>
        <w:rPr>
          <w:rFonts w:asciiTheme="minorHAnsi" w:eastAsiaTheme="minorEastAsia" w:hAnsiTheme="minorHAnsi" w:cstheme="minorBidi"/>
          <w:noProof/>
          <w:sz w:val="22"/>
          <w:szCs w:val="22"/>
        </w:rPr>
      </w:pPr>
      <w:hyperlink w:anchor="_Toc493516891" w:history="1">
        <w:r w:rsidRPr="00E118B0">
          <w:rPr>
            <w:rStyle w:val="Hyperlink"/>
            <w:noProof/>
          </w:rPr>
          <w:t>Version Change Summary</w:t>
        </w:r>
        <w:r>
          <w:rPr>
            <w:noProof/>
            <w:webHidden/>
          </w:rPr>
          <w:tab/>
        </w:r>
        <w:r>
          <w:rPr>
            <w:noProof/>
            <w:webHidden/>
          </w:rPr>
          <w:fldChar w:fldCharType="begin"/>
        </w:r>
        <w:r>
          <w:rPr>
            <w:noProof/>
            <w:webHidden/>
          </w:rPr>
          <w:instrText xml:space="preserve"> PAGEREF _Toc493516891 \h </w:instrText>
        </w:r>
        <w:r>
          <w:rPr>
            <w:noProof/>
            <w:webHidden/>
          </w:rPr>
        </w:r>
        <w:r>
          <w:rPr>
            <w:noProof/>
            <w:webHidden/>
          </w:rPr>
          <w:fldChar w:fldCharType="separate"/>
        </w:r>
        <w:r>
          <w:rPr>
            <w:noProof/>
            <w:webHidden/>
          </w:rPr>
          <w:t>90</w:t>
        </w:r>
        <w:r>
          <w:rPr>
            <w:noProof/>
            <w:webHidden/>
          </w:rPr>
          <w:fldChar w:fldCharType="end"/>
        </w:r>
      </w:hyperlink>
    </w:p>
    <w:p w14:paraId="046ED707" w14:textId="3931FDD0" w:rsidR="00186B05" w:rsidRDefault="00186B05" w:rsidP="00E6364B">
      <w:pPr>
        <w:spacing w:before="0" w:after="0" w:line="240" w:lineRule="auto"/>
      </w:pPr>
      <w:r>
        <w:rPr>
          <w:b/>
          <w:bCs/>
          <w:noProof/>
        </w:rPr>
        <w:fldChar w:fldCharType="end"/>
      </w:r>
    </w:p>
    <w:p w14:paraId="2B3BE80F" w14:textId="77777777" w:rsidR="00D44EEC" w:rsidRPr="00186B05" w:rsidRDefault="00D44EEC">
      <w:pPr>
        <w:pStyle w:val="Heading1"/>
      </w:pPr>
      <w:bookmarkStart w:id="3" w:name="_Toc493516857"/>
      <w:r w:rsidRPr="00CC771D">
        <w:t>Overview</w:t>
      </w:r>
      <w:bookmarkEnd w:id="0"/>
      <w:bookmarkEnd w:id="1"/>
      <w:bookmarkEnd w:id="3"/>
    </w:p>
    <w:p w14:paraId="344249FD" w14:textId="443A1B9D" w:rsidR="00722D29" w:rsidRDefault="00D44EEC" w:rsidP="00D31D92">
      <w:r w:rsidRPr="007F2179">
        <w:t xml:space="preserve">This </w:t>
      </w:r>
      <w:r w:rsidR="00580A9E" w:rsidRPr="007F2179">
        <w:t xml:space="preserve">technical </w:t>
      </w:r>
      <w:r w:rsidR="00580A9E" w:rsidRPr="000145D0">
        <w:t>memo</w:t>
      </w:r>
      <w:r w:rsidRPr="007F2179">
        <w:t xml:space="preserve"> describes the </w:t>
      </w:r>
      <w:r w:rsidR="00580A9E" w:rsidRPr="007F2179">
        <w:t xml:space="preserve">inputs and methods used to update the avoided costs for cost-effectiveness valuation </w:t>
      </w:r>
      <w:r w:rsidR="000A2828">
        <w:t>for 2017 through 2040</w:t>
      </w:r>
      <w:r w:rsidR="00580A9E" w:rsidRPr="007F2179">
        <w:t xml:space="preserve">.  </w:t>
      </w:r>
      <w:r w:rsidR="00722D29">
        <w:t>This update takes moderate steps toward a better reflection of the expected future avoided costs for the California IOUs.  However, numerous modifications have not been addresses or implemented because of limitations in the scope of this interim update.  The intent is that the Cost Effectiveness Working Group, will be addressing such additi</w:t>
      </w:r>
      <w:r w:rsidR="00020926">
        <w:t>onal modifications in Phase 3</w:t>
      </w:r>
      <w:r w:rsidR="00722D29">
        <w:t xml:space="preserve">. </w:t>
      </w:r>
    </w:p>
    <w:p w14:paraId="6E1D2DC6" w14:textId="2AF90432" w:rsidR="00437F8C" w:rsidRDefault="00722D29" w:rsidP="00D31D92">
      <w:r>
        <w:t xml:space="preserve">This update builds upon the Distributed Energy Resource Avoided Cost Model that was used for the energy efficiency avoided costs since the 2011 cycle, and Demand Response program valuation.   </w:t>
      </w:r>
      <w:r w:rsidR="00D31D92">
        <w:t xml:space="preserve">The major </w:t>
      </w:r>
      <w:r>
        <w:t xml:space="preserve">data updates and </w:t>
      </w:r>
      <w:r w:rsidR="00D31D92">
        <w:t xml:space="preserve">methodology changes </w:t>
      </w:r>
      <w:r>
        <w:t xml:space="preserve">that </w:t>
      </w:r>
      <w:r w:rsidR="00D31D92">
        <w:t xml:space="preserve">affect the forecast of electricity generation </w:t>
      </w:r>
      <w:r w:rsidR="00CC641F">
        <w:t>energy and capacity, and are listed below.</w:t>
      </w:r>
    </w:p>
    <w:p w14:paraId="7071EDFA" w14:textId="77777777" w:rsidR="00AC01B7" w:rsidRDefault="00AC01B7" w:rsidP="00D31D92">
      <w:pPr>
        <w:rPr>
          <w:b/>
        </w:rPr>
      </w:pPr>
      <w:r w:rsidRPr="00813981">
        <w:rPr>
          <w:b/>
          <w:bCs/>
        </w:rPr>
        <w:t>Methodology Enhancements</w:t>
      </w:r>
    </w:p>
    <w:p w14:paraId="5DC38322" w14:textId="08FBA043" w:rsidR="00AC01B7" w:rsidRPr="00F139BD" w:rsidRDefault="00AC01B7" w:rsidP="00AC01B7">
      <w:pPr>
        <w:numPr>
          <w:ilvl w:val="0"/>
          <w:numId w:val="2"/>
        </w:numPr>
      </w:pPr>
      <w:r>
        <w:lastRenderedPageBreak/>
        <w:t xml:space="preserve">Replace CAISO system load-based allocation of capacity value with </w:t>
      </w:r>
      <w:r w:rsidR="0033103F" w:rsidRPr="008A6BDD">
        <w:t>unserved energy</w:t>
      </w:r>
      <w:r w:rsidRPr="008A6BDD">
        <w:t xml:space="preserve"> probabilities</w:t>
      </w:r>
      <w:r w:rsidRPr="31372397">
        <w:t xml:space="preserve"> </w:t>
      </w:r>
      <w:r>
        <w:t>based on E3 RECAP model</w:t>
      </w:r>
      <w:r>
        <w:rPr>
          <w:rStyle w:val="FootnoteReference"/>
        </w:rPr>
        <w:footnoteReference w:id="1"/>
      </w:r>
      <w:r w:rsidRPr="31372397">
        <w:t>.</w:t>
      </w:r>
    </w:p>
    <w:p w14:paraId="308A9E2C" w14:textId="22E16E19" w:rsidR="008C24E1" w:rsidRPr="00020926" w:rsidRDefault="008C24E1" w:rsidP="008A6BDD">
      <w:pPr>
        <w:pStyle w:val="ListParagraph"/>
        <w:numPr>
          <w:ilvl w:val="0"/>
          <w:numId w:val="2"/>
        </w:numPr>
      </w:pPr>
      <w:r w:rsidRPr="00020926">
        <w:t>Replace 2010 MRTU hourly energy price shapes with 2015 data</w:t>
      </w:r>
      <w:r w:rsidR="0033103F" w:rsidRPr="00020926">
        <w:t xml:space="preserve"> and update the hourly price shapes to reflect changes in market prices expected to occur due to increased renewable generation as California continues to move toward the 50% RPS goal.</w:t>
      </w:r>
    </w:p>
    <w:p w14:paraId="50E2CA43" w14:textId="15651E3C" w:rsidR="008C24E1" w:rsidRPr="00020926" w:rsidRDefault="559D7A01" w:rsidP="008C24E1">
      <w:pPr>
        <w:numPr>
          <w:ilvl w:val="0"/>
          <w:numId w:val="2"/>
        </w:numPr>
      </w:pPr>
      <w:r w:rsidRPr="00020926">
        <w:t xml:space="preserve">Replace use of private long-run gas forecasts (as no longer procured by the CPUC) </w:t>
      </w:r>
      <w:r w:rsidR="00020926" w:rsidRPr="00020926">
        <w:t xml:space="preserve">with </w:t>
      </w:r>
      <w:r w:rsidR="00D75AAE">
        <w:t>a modified market price referent (MPR) methodology.</w:t>
      </w:r>
    </w:p>
    <w:p w14:paraId="7EEAEA54" w14:textId="4BD49E0F" w:rsidR="008C24E1" w:rsidRPr="00020926" w:rsidRDefault="008C24E1" w:rsidP="008C24E1">
      <w:pPr>
        <w:numPr>
          <w:ilvl w:val="0"/>
          <w:numId w:val="2"/>
        </w:numPr>
      </w:pPr>
      <w:r w:rsidRPr="008A6BDD">
        <w:t>Move the resource balance year (the year when the avoided costs for are based on sustaining new CT and CCGT units in the market) to 2</w:t>
      </w:r>
      <w:r w:rsidR="31372397" w:rsidRPr="008A6BDD">
        <w:t>015</w:t>
      </w:r>
      <w:r w:rsidRPr="008A6BDD">
        <w:t>.</w:t>
      </w:r>
    </w:p>
    <w:p w14:paraId="152C9606" w14:textId="0627E0F9" w:rsidR="008C24E1" w:rsidRPr="00020926" w:rsidRDefault="008C24E1">
      <w:pPr>
        <w:numPr>
          <w:ilvl w:val="0"/>
          <w:numId w:val="2"/>
        </w:numPr>
      </w:pPr>
      <w:r w:rsidRPr="008A6BDD">
        <w:t>Include the carbon price and variable O&amp;M in the dispatch logic for calculating the residual net cost of generation capacity.</w:t>
      </w:r>
    </w:p>
    <w:p w14:paraId="6A84213E" w14:textId="42EE6AFA" w:rsidR="008C24E1" w:rsidRPr="00020926" w:rsidRDefault="0033103F">
      <w:pPr>
        <w:numPr>
          <w:ilvl w:val="0"/>
          <w:numId w:val="2"/>
        </w:numPr>
      </w:pPr>
      <w:r w:rsidRPr="008A6BDD">
        <w:t>Update the T&amp;D allocation factors to better reflect actual peak demand patterns on distribution facilities.</w:t>
      </w:r>
      <w:r w:rsidR="01087E66" w:rsidRPr="008A6BDD">
        <w:t xml:space="preserve"> </w:t>
      </w:r>
    </w:p>
    <w:p w14:paraId="69FC4926" w14:textId="4F8ACD57" w:rsidR="00817739" w:rsidRPr="00020926" w:rsidRDefault="0033103F">
      <w:pPr>
        <w:numPr>
          <w:ilvl w:val="0"/>
          <w:numId w:val="2"/>
        </w:numPr>
      </w:pPr>
      <w:r w:rsidRPr="008A6BDD">
        <w:t>Forecast annual energy prices that include CO2 costs (consistent with the Cap and Trade market), and decompose those prices into energy and environment components.</w:t>
      </w:r>
    </w:p>
    <w:p w14:paraId="7E7D7C1A" w14:textId="2AEA5A54" w:rsidR="4E3C0921" w:rsidRPr="00020926" w:rsidRDefault="6969A998" w:rsidP="008A6BDD">
      <w:pPr>
        <w:numPr>
          <w:ilvl w:val="0"/>
          <w:numId w:val="2"/>
        </w:numPr>
      </w:pPr>
      <w:r w:rsidRPr="00020926">
        <w:t>Include adjustments to the hourly energy price profile using the CPUC RPS Calculator to account for projected increases in renewable generation.</w:t>
      </w:r>
      <w:r w:rsidR="4E3C0921" w:rsidRPr="00020926">
        <w:t xml:space="preserve"> </w:t>
      </w:r>
      <w:r w:rsidR="4E3C0921" w:rsidRPr="008A6BDD">
        <w:rPr>
          <w:rFonts w:eastAsia="Calibri"/>
        </w:rPr>
        <w:t xml:space="preserve">RPS Calculator implied heat rate changes by month/hour are incorporated into the price shape for </w:t>
      </w:r>
      <w:r w:rsidR="3415F3CC" w:rsidRPr="008A6BDD">
        <w:rPr>
          <w:rFonts w:eastAsia="Calibri"/>
        </w:rPr>
        <w:t>years 2016 through 2020</w:t>
      </w:r>
      <w:r w:rsidR="4E3C0921" w:rsidRPr="008A6BDD">
        <w:rPr>
          <w:rFonts w:eastAsia="Calibri"/>
        </w:rPr>
        <w:t>, and adjustments after 2020 are held at the 2020 levels.</w:t>
      </w:r>
    </w:p>
    <w:p w14:paraId="22DD0BD6" w14:textId="77777777" w:rsidR="00AC01B7" w:rsidRPr="00AC01B7" w:rsidRDefault="00AC01B7" w:rsidP="00D31D92">
      <w:pPr>
        <w:rPr>
          <w:b/>
        </w:rPr>
      </w:pPr>
    </w:p>
    <w:p w14:paraId="151BE617" w14:textId="77777777" w:rsidR="00DC3164" w:rsidRPr="00F26268" w:rsidRDefault="005718C1" w:rsidP="00D31D92">
      <w:pPr>
        <w:rPr>
          <w:rStyle w:val="Strong"/>
        </w:rPr>
      </w:pPr>
      <w:r>
        <w:rPr>
          <w:rStyle w:val="Strong"/>
        </w:rPr>
        <w:lastRenderedPageBreak/>
        <w:t xml:space="preserve">Simple </w:t>
      </w:r>
      <w:r w:rsidR="00D84845">
        <w:rPr>
          <w:rStyle w:val="Strong"/>
        </w:rPr>
        <w:t>Data Updates</w:t>
      </w:r>
    </w:p>
    <w:p w14:paraId="6A56AF8F" w14:textId="77777777" w:rsidR="00437F8C" w:rsidRPr="00F139BD" w:rsidRDefault="00D84845" w:rsidP="00AC01B7">
      <w:pPr>
        <w:numPr>
          <w:ilvl w:val="0"/>
          <w:numId w:val="2"/>
        </w:numPr>
      </w:pPr>
      <w:r>
        <w:t>Update the cost and operating characteristics of a simple cycle gas turbine (CT) and a combined cycle gas turbine (CCGT) unit with data from the CEC Estimated Cost of New Renewable and Fossil Generation in California report</w:t>
      </w:r>
      <w:r>
        <w:rPr>
          <w:rStyle w:val="FootnoteReference"/>
        </w:rPr>
        <w:footnoteReference w:id="2"/>
      </w:r>
      <w:r w:rsidRPr="7FEEDD10">
        <w:t>.</w:t>
      </w:r>
    </w:p>
    <w:p w14:paraId="1A99EB6D" w14:textId="77777777" w:rsidR="00AC01B7" w:rsidRPr="00F139BD" w:rsidRDefault="00AC01B7" w:rsidP="00AC01B7">
      <w:pPr>
        <w:numPr>
          <w:ilvl w:val="0"/>
          <w:numId w:val="2"/>
        </w:numPr>
      </w:pPr>
      <w:r w:rsidRPr="00F139BD">
        <w:t xml:space="preserve">Update the ancillary service value to reflect </w:t>
      </w:r>
      <w:r>
        <w:t>2015</w:t>
      </w:r>
      <w:r w:rsidRPr="00F139BD">
        <w:t xml:space="preserve"> markets</w:t>
      </w:r>
    </w:p>
    <w:p w14:paraId="1DE96C59" w14:textId="77777777" w:rsidR="00AC01B7" w:rsidRPr="00F139BD" w:rsidRDefault="00AC01B7" w:rsidP="00AC01B7">
      <w:pPr>
        <w:numPr>
          <w:ilvl w:val="0"/>
          <w:numId w:val="2"/>
        </w:numPr>
      </w:pPr>
      <w:r>
        <w:t>Update T&amp;D capacity costs for latest utility General Rate Case (GRC) filings.</w:t>
      </w:r>
    </w:p>
    <w:p w14:paraId="1EEE4B34" w14:textId="77777777" w:rsidR="00AC01B7" w:rsidRDefault="008C24E1" w:rsidP="00AC01B7">
      <w:pPr>
        <w:numPr>
          <w:ilvl w:val="0"/>
          <w:numId w:val="2"/>
        </w:numPr>
      </w:pPr>
      <w:r>
        <w:t>Replace Synapse forecast of</w:t>
      </w:r>
      <w:r w:rsidR="00AC01B7" w:rsidRPr="00F139BD">
        <w:t xml:space="preserve"> CO2 </w:t>
      </w:r>
      <w:r w:rsidR="00AC01B7">
        <w:t>price forecast with 2015 IEPR</w:t>
      </w:r>
      <w:r w:rsidR="00AC01B7" w:rsidRPr="00F139BD">
        <w:t xml:space="preserve"> mid-case forecast</w:t>
      </w:r>
      <w:r w:rsidR="00AC01B7">
        <w:t xml:space="preserve"> values</w:t>
      </w:r>
    </w:p>
    <w:p w14:paraId="36C7DE8F" w14:textId="77777777" w:rsidR="008C24E1" w:rsidRDefault="008C24E1" w:rsidP="00AC01B7">
      <w:pPr>
        <w:numPr>
          <w:ilvl w:val="0"/>
          <w:numId w:val="2"/>
        </w:numPr>
      </w:pPr>
      <w:r>
        <w:t>Update the marginal RPS cost (used to calculate the RPS premium) with values from the latest RPS Calculator spreadsheet model (version 6.2)</w:t>
      </w:r>
    </w:p>
    <w:p w14:paraId="2CB1F788" w14:textId="77777777" w:rsidR="00836907" w:rsidRDefault="007770E0">
      <w:pPr>
        <w:pStyle w:val="Heading1"/>
      </w:pPr>
      <w:bookmarkStart w:id="4" w:name="_Toc271574654"/>
      <w:bookmarkStart w:id="5" w:name="_Toc271575303"/>
      <w:r>
        <w:br w:type="page"/>
      </w:r>
      <w:bookmarkStart w:id="6" w:name="_Toc493516858"/>
      <w:r w:rsidR="00836907">
        <w:lastRenderedPageBreak/>
        <w:t>Natural Gas Avoided Cost Updates</w:t>
      </w:r>
      <w:bookmarkEnd w:id="6"/>
    </w:p>
    <w:p w14:paraId="06E0720D" w14:textId="77777777" w:rsidR="00293876" w:rsidRDefault="00293876" w:rsidP="00293876">
      <w:r>
        <w:t xml:space="preserve">The natural gas price forecast is updated using a modified version of the Market Price Referent (MPR) methodology. The MPR methodology used NYMEX forward prices for PG&amp;E </w:t>
      </w:r>
      <w:proofErr w:type="spellStart"/>
      <w:r>
        <w:t>Citygate</w:t>
      </w:r>
      <w:proofErr w:type="spellEnd"/>
      <w:r>
        <w:t xml:space="preserve"> and the SoCal Border for the available trading period. After the end of the available NYMEX data, the prices were escalated using a rate based on the average of three long-term fundamental natural gas price forecasts. The proprietary long-term fundamental natural gas price forecasts are no longer purchased by the CPUC, as the MPR calculation is no longer performed for evaluation of RPS contracts. We therefore modified the MRP methodology to use publicly available forecasts for PG&amp;E </w:t>
      </w:r>
      <w:proofErr w:type="spellStart"/>
      <w:r>
        <w:t>Citygate</w:t>
      </w:r>
      <w:proofErr w:type="spellEnd"/>
      <w:r>
        <w:t xml:space="preserve"> and the SoCal Border from the CEC Integrated Energy Policy Report (IEPR) and for Henry Hub from the Energy Information Administration Annual Energy Outlook (EIA AEO).   Historical quotes and index prices are obtained from SNL Financial (recently acquired by S&amp;P Global Market Intelligence).  We downloaded historical quotes for PG&amp;E </w:t>
      </w:r>
      <w:proofErr w:type="spellStart"/>
      <w:r>
        <w:t>Citygate</w:t>
      </w:r>
      <w:proofErr w:type="spellEnd"/>
      <w:r>
        <w:t xml:space="preserve"> and the SoCal Border from May 2, 2016 through May 27, 2016, for the months of June 2016 through December 2021. We downloaded NYMEX Henry Hub quotes over the same period for the months of June 2016 through December 2028. </w:t>
      </w:r>
      <w:r w:rsidRPr="004B0561">
        <w:t xml:space="preserve"> </w:t>
      </w:r>
      <w:r>
        <w:t xml:space="preserve">Following the MPR methodology, we calculate an average of 22 trading days of historical quotes from NYMEX. Rather than using basis quotes as in the original MPR methodology, we use full value monthly quotes for PG&amp;E </w:t>
      </w:r>
      <w:proofErr w:type="spellStart"/>
      <w:r>
        <w:t>Citygate</w:t>
      </w:r>
      <w:proofErr w:type="spellEnd"/>
      <w:r>
        <w:t xml:space="preserve"> and the SoCal Border, which are now available on SNL. </w:t>
      </w:r>
    </w:p>
    <w:p w14:paraId="4271DF3E" w14:textId="3B0E2CF8" w:rsidR="00836907" w:rsidRDefault="00293876" w:rsidP="00293876">
      <w:r>
        <w:t xml:space="preserve">The NYMEX quotes for PG&amp;E </w:t>
      </w:r>
      <w:proofErr w:type="spellStart"/>
      <w:r>
        <w:t>Citygate</w:t>
      </w:r>
      <w:proofErr w:type="spellEnd"/>
      <w:r>
        <w:t xml:space="preserve"> and the SoCal Border only go out until 2021 and the CEC IEPR forecast only goes out to 2026. Per the MPR methodology, we trend the last five years of NYMEX data to get a trended price in 2022 from the NYMEX data.</w:t>
      </w:r>
      <w:r w:rsidR="00662708">
        <w:t xml:space="preserve"> From 2023 to 2025, we transition these market-based prices to a long-term fundamentals-based forecast from the 2015 EIA AEO henry hub prices plus the average SoCal and PG&amp;E </w:t>
      </w:r>
      <w:proofErr w:type="spellStart"/>
      <w:r w:rsidR="00662708">
        <w:t>Citygate</w:t>
      </w:r>
      <w:proofErr w:type="spellEnd"/>
      <w:r w:rsidR="00662708">
        <w:t xml:space="preserve"> basis spreads during the period with market prices. For 2026 and beyond, we use the 2015 EIA AEO henry hub price forecast plus basis spreads</w:t>
      </w:r>
      <w:r>
        <w:t xml:space="preserve">. We also use the CEC IEPR forecast of intrastate natural gas transportation rates to calculate the cost of delivered gas (as opposed to the MPR method </w:t>
      </w:r>
      <w:r>
        <w:lastRenderedPageBreak/>
        <w:t xml:space="preserve">using the latest available tariffs from PG&amp;E and SoCal Gas). We retain the hedging transaction cost and municipal franchise fee surcharge included in the MPR methodology. The NYMEX quotes and forecasts used as inputs to the MPR natural gas price forecast methodology are shown in </w:t>
      </w:r>
      <w:r>
        <w:fldChar w:fldCharType="begin"/>
      </w:r>
      <w:r>
        <w:instrText xml:space="preserve"> REF _Ref248226661 \h </w:instrText>
      </w:r>
      <w:r>
        <w:fldChar w:fldCharType="separate"/>
      </w:r>
      <w:r w:rsidRPr="1124BE9D">
        <w:t xml:space="preserve">Figure </w:t>
      </w:r>
      <w:r w:rsidRPr="008A6BDD">
        <w:t>1</w:t>
      </w:r>
      <w:r>
        <w:fldChar w:fldCharType="end"/>
      </w:r>
      <w:r>
        <w:t>.</w:t>
      </w:r>
      <w:r w:rsidR="00DD325E" w:rsidRPr="25ED4B98">
        <w:t xml:space="preserve">  </w:t>
      </w:r>
    </w:p>
    <w:p w14:paraId="258E2843" w14:textId="4652B28B" w:rsidR="00836907" w:rsidRDefault="00836907" w:rsidP="00836907">
      <w:pPr>
        <w:pStyle w:val="Caption"/>
      </w:pPr>
      <w:bookmarkStart w:id="7" w:name="_Ref248226661"/>
      <w:r w:rsidRPr="1124BE9D">
        <w:t xml:space="preserve">Figure </w:t>
      </w:r>
      <w:fldSimple w:instr=" SEQ Figure \* ARABIC ">
        <w:r w:rsidR="001068CE">
          <w:rPr>
            <w:noProof/>
          </w:rPr>
          <w:t>1</w:t>
        </w:r>
      </w:fldSimple>
      <w:bookmarkEnd w:id="7"/>
      <w:r w:rsidRPr="1124BE9D">
        <w:t>. Natural gas price forecast</w:t>
      </w:r>
    </w:p>
    <w:p w14:paraId="42608A31" w14:textId="4957BD39" w:rsidR="15F700D0" w:rsidRDefault="00E94637">
      <w:r w:rsidRPr="00E94637">
        <w:rPr>
          <w:noProof/>
        </w:rPr>
        <w:drawing>
          <wp:inline distT="0" distB="0" distL="0" distR="0" wp14:anchorId="17F8C98A" wp14:editId="5C3A72EC">
            <wp:extent cx="4267200" cy="2733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733675"/>
                    </a:xfrm>
                    <a:prstGeom prst="rect">
                      <a:avLst/>
                    </a:prstGeom>
                    <a:noFill/>
                    <a:ln>
                      <a:noFill/>
                    </a:ln>
                  </pic:spPr>
                </pic:pic>
              </a:graphicData>
            </a:graphic>
          </wp:inline>
        </w:drawing>
      </w:r>
    </w:p>
    <w:p w14:paraId="7C99E697" w14:textId="77777777" w:rsidR="00293876" w:rsidRPr="00333F94" w:rsidRDefault="00293876" w:rsidP="00293876">
      <w:bookmarkStart w:id="8" w:name="_Ref278718962"/>
      <w:r w:rsidRPr="00333F94">
        <w:t>The natural gas forecast also incorporates monthly variations in natural gas prices—commodity prices tend to rise in the winter when demand for natural gas as a heating fuel increases.  The monthly price profiles are based on the monthly NYMEX natural gas prices used to develop the price forecast through 20</w:t>
      </w:r>
      <w:r>
        <w:t>21</w:t>
      </w:r>
      <w:r w:rsidRPr="00333F94">
        <w:t xml:space="preserve"> and then the monthly price profile is held constant </w:t>
      </w:r>
      <w:r>
        <w:t>thereafter</w:t>
      </w:r>
      <w:r w:rsidRPr="00333F94">
        <w:t xml:space="preserve">. </w:t>
      </w:r>
      <w:r w:rsidRPr="00333F94">
        <w:fldChar w:fldCharType="begin"/>
      </w:r>
      <w:r w:rsidRPr="00333F94">
        <w:instrText xml:space="preserve"> REF _Ref278718962 \h  \* MERGEFORMAT </w:instrText>
      </w:r>
      <w:r w:rsidRPr="00333F94">
        <w:fldChar w:fldCharType="separate"/>
      </w:r>
      <w:r w:rsidRPr="00333F94">
        <w:t xml:space="preserve">Figure </w:t>
      </w:r>
      <w:r w:rsidRPr="00333F94">
        <w:rPr>
          <w:noProof/>
        </w:rPr>
        <w:t>2</w:t>
      </w:r>
      <w:r w:rsidRPr="00333F94">
        <w:fldChar w:fldCharType="end"/>
      </w:r>
      <w:r w:rsidRPr="00333F94">
        <w:t xml:space="preserve"> shows three snapshots of the monthly shape of the natural gas price forecast.</w:t>
      </w:r>
    </w:p>
    <w:p w14:paraId="1D967738" w14:textId="0D57C7E7" w:rsidR="00836907" w:rsidRDefault="00836907" w:rsidP="00836907">
      <w:pPr>
        <w:pStyle w:val="Caption"/>
      </w:pPr>
      <w:r w:rsidRPr="00681C76">
        <w:lastRenderedPageBreak/>
        <w:t xml:space="preserve">Figure </w:t>
      </w:r>
      <w:fldSimple w:instr=" SEQ Figure \* ARABIC ">
        <w:r w:rsidR="001068CE">
          <w:rPr>
            <w:noProof/>
          </w:rPr>
          <w:t>2</w:t>
        </w:r>
      </w:fldSimple>
      <w:bookmarkEnd w:id="8"/>
      <w:r w:rsidRPr="00681C76">
        <w:t xml:space="preserve">. Snapshot of monthly gas price forecast shapes for </w:t>
      </w:r>
      <w:r w:rsidR="00E51049" w:rsidRPr="00681C76">
        <w:t>2017, 2020,</w:t>
      </w:r>
      <w:r w:rsidR="00681C76" w:rsidRPr="00681C76">
        <w:t xml:space="preserve"> 2025, </w:t>
      </w:r>
      <w:r w:rsidR="00E51049" w:rsidRPr="00681C76">
        <w:t>and 2030</w:t>
      </w:r>
    </w:p>
    <w:p w14:paraId="2F4BA76D" w14:textId="596AB2C8" w:rsidR="1D967738" w:rsidRDefault="00836907">
      <w:r>
        <w:rPr>
          <w:b/>
          <w:bCs/>
          <w:noProof/>
        </w:rPr>
        <w:drawing>
          <wp:inline distT="0" distB="0" distL="0" distR="0" wp14:anchorId="58BFB91B" wp14:editId="7251E030">
            <wp:extent cx="5753098" cy="3448050"/>
            <wp:effectExtent l="0" t="0" r="0" b="0"/>
            <wp:docPr id="2078549665"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53098" cy="3448050"/>
                    </a:xfrm>
                    <a:prstGeom prst="rect">
                      <a:avLst/>
                    </a:prstGeom>
                  </pic:spPr>
                </pic:pic>
              </a:graphicData>
            </a:graphic>
          </wp:inline>
        </w:drawing>
      </w:r>
    </w:p>
    <w:p w14:paraId="49DFD4FB" w14:textId="77777777" w:rsidR="00E05181" w:rsidRDefault="00DD325E" w:rsidP="00DD325E">
      <w:r>
        <w:t xml:space="preserve">For the avoided costs used to evaluate natural gas EE reductions, </w:t>
      </w:r>
      <w:r w:rsidR="00E05181">
        <w:t>the following costs are added to the commodity cost.</w:t>
      </w:r>
    </w:p>
    <w:p w14:paraId="2AFA722F" w14:textId="77777777" w:rsidR="00E05181" w:rsidRDefault="00E05181" w:rsidP="00E05181">
      <w:pPr>
        <w:numPr>
          <w:ilvl w:val="0"/>
          <w:numId w:val="7"/>
        </w:numPr>
      </w:pPr>
      <w:r>
        <w:t>compression (0.39%),</w:t>
      </w:r>
    </w:p>
    <w:p w14:paraId="64FB361C" w14:textId="77777777" w:rsidR="00E05181" w:rsidRDefault="00DD325E" w:rsidP="00E05181">
      <w:pPr>
        <w:numPr>
          <w:ilvl w:val="0"/>
          <w:numId w:val="7"/>
        </w:numPr>
      </w:pPr>
      <w:r>
        <w:t>losses and unaccounted</w:t>
      </w:r>
      <w:r w:rsidR="00E05181">
        <w:t xml:space="preserve"> for (1.37%)</w:t>
      </w:r>
      <w:r>
        <w:t xml:space="preserve">, </w:t>
      </w:r>
    </w:p>
    <w:p w14:paraId="1457C37D" w14:textId="77777777" w:rsidR="00E05181" w:rsidRDefault="00DD325E" w:rsidP="00E05181">
      <w:pPr>
        <w:numPr>
          <w:ilvl w:val="0"/>
          <w:numId w:val="7"/>
        </w:numPr>
      </w:pPr>
      <w:r>
        <w:t>marginal transmission and delivery costs</w:t>
      </w:r>
      <w:r w:rsidR="00E05181">
        <w:t xml:space="preserve"> (varies by utility)</w:t>
      </w:r>
      <w:r>
        <w:t xml:space="preserve">, </w:t>
      </w:r>
    </w:p>
    <w:p w14:paraId="05F35ACB" w14:textId="77777777" w:rsidR="00DD325E" w:rsidRPr="008A6BDD" w:rsidRDefault="00E05181" w:rsidP="00E05181">
      <w:pPr>
        <w:numPr>
          <w:ilvl w:val="0"/>
          <w:numId w:val="7"/>
        </w:numPr>
      </w:pPr>
      <w:r w:rsidRPr="008A6BDD">
        <w:t>NOX and CO2 ($5.82/</w:t>
      </w:r>
      <w:proofErr w:type="spellStart"/>
      <w:r w:rsidRPr="008A6BDD">
        <w:t>lb</w:t>
      </w:r>
      <w:proofErr w:type="spellEnd"/>
      <w:r w:rsidRPr="008A6BDD">
        <w:t xml:space="preserve"> and $15.37/short ton in 2012. Both escalate annually)</w:t>
      </w:r>
    </w:p>
    <w:p w14:paraId="63EEE30E" w14:textId="77777777" w:rsidR="00836907" w:rsidRDefault="00E05181" w:rsidP="00836907">
      <w:pPr>
        <w:rPr>
          <w:lang w:val="x-none"/>
        </w:rPr>
      </w:pPr>
      <w:r w:rsidRPr="008A6BDD">
        <w:rPr>
          <w:lang w:val="x-none"/>
        </w:rPr>
        <w:t>Of these additional cost items, only the CO2 $/short ton value has been updated.</w:t>
      </w:r>
      <w:r>
        <w:rPr>
          <w:lang w:val="x-none"/>
        </w:rPr>
        <w:t xml:space="preserve">  The cost of CO2 is discussed in more detail in the electricity avoided cost section of this memo.</w:t>
      </w:r>
    </w:p>
    <w:p w14:paraId="548971D4" w14:textId="64620242" w:rsidR="00717DAC" w:rsidRDefault="003005EF" w:rsidP="00836907">
      <w:pPr>
        <w:rPr>
          <w:color w:val="FF0000"/>
        </w:rPr>
      </w:pPr>
      <w:r w:rsidRPr="008A6BDD">
        <w:t xml:space="preserve">The </w:t>
      </w:r>
      <w:r w:rsidR="00020926">
        <w:t>natural gas</w:t>
      </w:r>
      <w:r w:rsidRPr="008A6BDD">
        <w:t xml:space="preserve"> forecasts</w:t>
      </w:r>
      <w:r w:rsidR="00020926">
        <w:t xml:space="preserve"> discussed above</w:t>
      </w:r>
      <w:r w:rsidRPr="008A6BDD">
        <w:t xml:space="preserve"> are for burner tip</w:t>
      </w:r>
      <w:r w:rsidR="00C84EB7" w:rsidRPr="008A6BDD">
        <w:t xml:space="preserve">, so the incremental cost of transportation for core gas customers is added to the commodity cost for the gas avoided cost </w:t>
      </w:r>
      <w:r w:rsidR="00C84EB7" w:rsidRPr="008A6BDD">
        <w:lastRenderedPageBreak/>
        <w:t>for retail customers.  The incremental transportation costs are updated for the current IOU gas tariffs (Effective May 2016), and assumed to escalate at 2% per year.</w:t>
      </w:r>
      <w:r w:rsidRPr="008A6BDD">
        <w:rPr>
          <w:color w:val="FF0000"/>
        </w:rPr>
        <w:t xml:space="preserve"> </w:t>
      </w:r>
    </w:p>
    <w:p w14:paraId="5E896A99" w14:textId="28464CEA" w:rsidR="00E05181" w:rsidRPr="008A6BDD" w:rsidRDefault="00717DAC" w:rsidP="00836907">
      <w:pPr>
        <w:rPr>
          <w:lang w:val="x-none"/>
        </w:rPr>
      </w:pPr>
      <w:r w:rsidRPr="008A6BDD">
        <w:t>The marginal cost of gas distribution capacity has not been revised in this update.</w:t>
      </w:r>
    </w:p>
    <w:p w14:paraId="58CB599B" w14:textId="77777777" w:rsidR="00836907" w:rsidRPr="00836907" w:rsidRDefault="00836907" w:rsidP="00836907">
      <w:pPr>
        <w:rPr>
          <w:lang w:val="x-none"/>
        </w:rPr>
      </w:pPr>
    </w:p>
    <w:p w14:paraId="0C3969FA" w14:textId="77777777" w:rsidR="00E412A9" w:rsidRDefault="00E412A9">
      <w:pPr>
        <w:pStyle w:val="Heading1"/>
      </w:pPr>
      <w:bookmarkStart w:id="9" w:name="_Toc493516859"/>
      <w:r>
        <w:t xml:space="preserve">Overview of </w:t>
      </w:r>
      <w:r w:rsidR="000514E9">
        <w:t xml:space="preserve">Electricity </w:t>
      </w:r>
      <w:r>
        <w:t>Avoided Cost Components</w:t>
      </w:r>
      <w:bookmarkEnd w:id="4"/>
      <w:bookmarkEnd w:id="5"/>
      <w:bookmarkEnd w:id="9"/>
    </w:p>
    <w:p w14:paraId="11A3470F" w14:textId="1D3B4F4F" w:rsidR="00DE3966" w:rsidRDefault="00DE3966" w:rsidP="000145D0">
      <w:r>
        <w:t>This section provides a brief overview of the electricity avoided cost components and their contribution to the total electricity avoided costs.  This is followed by detailed discussions of the updates for each component in the subsequent sections.</w:t>
      </w:r>
    </w:p>
    <w:p w14:paraId="3FE9B682" w14:textId="58A5AC62" w:rsidR="00E412A9" w:rsidRDefault="00E412A9" w:rsidP="000145D0">
      <w:r>
        <w:t xml:space="preserve">The avoided cost used for </w:t>
      </w:r>
      <w:r w:rsidR="000514E9">
        <w:t xml:space="preserve">electricity </w:t>
      </w:r>
      <w:r>
        <w:t xml:space="preserve">energy efficiency evaluation is calculated as the sum of six components shown in </w:t>
      </w:r>
      <w:r>
        <w:fldChar w:fldCharType="begin"/>
      </w:r>
      <w:r>
        <w:instrText xml:space="preserve"> REF _Ref248225701 \h </w:instrText>
      </w:r>
      <w:r>
        <w:fldChar w:fldCharType="separate"/>
      </w:r>
      <w:r w:rsidR="00A05C18">
        <w:t xml:space="preserve">Table </w:t>
      </w:r>
      <w:r w:rsidR="00A05C18">
        <w:rPr>
          <w:noProof/>
        </w:rPr>
        <w:t>1</w:t>
      </w:r>
      <w:r>
        <w:fldChar w:fldCharType="end"/>
      </w:r>
      <w:r>
        <w:t>.</w:t>
      </w:r>
    </w:p>
    <w:p w14:paraId="040B6B94" w14:textId="52C77E5B" w:rsidR="00E412A9" w:rsidRPr="001A1330" w:rsidRDefault="00E412A9" w:rsidP="00087461">
      <w:pPr>
        <w:pStyle w:val="Caption"/>
      </w:pPr>
      <w:bookmarkStart w:id="10" w:name="_Ref248225701"/>
      <w:r>
        <w:t xml:space="preserve">Table </w:t>
      </w:r>
      <w:fldSimple w:instr=" SEQ Table \* ARABIC ">
        <w:r w:rsidR="006B2392">
          <w:rPr>
            <w:noProof/>
          </w:rPr>
          <w:t>1</w:t>
        </w:r>
      </w:fldSimple>
      <w:bookmarkEnd w:id="10"/>
      <w:r>
        <w:t xml:space="preserve">. Components of </w:t>
      </w:r>
      <w:r w:rsidR="000514E9">
        <w:t>electricity avoided</w:t>
      </w:r>
      <w:r>
        <w:t xml:space="preserve">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7107"/>
      </w:tblGrid>
      <w:tr w:rsidR="00E412A9" w:rsidRPr="00D05611" w14:paraId="357F6EA8" w14:textId="77777777" w:rsidTr="008A6BDD">
        <w:tc>
          <w:tcPr>
            <w:tcW w:w="2268" w:type="dxa"/>
            <w:shd w:val="clear" w:color="auto" w:fill="CCCCCC"/>
            <w:vAlign w:val="center"/>
          </w:tcPr>
          <w:p w14:paraId="452AB1C8" w14:textId="77777777" w:rsidR="00E412A9" w:rsidRPr="00D05611" w:rsidRDefault="00E412A9" w:rsidP="00320920">
            <w:pPr>
              <w:spacing w:line="240" w:lineRule="auto"/>
            </w:pPr>
            <w:r w:rsidRPr="00D05611">
              <w:t>Component</w:t>
            </w:r>
          </w:p>
        </w:tc>
        <w:tc>
          <w:tcPr>
            <w:tcW w:w="7290" w:type="dxa"/>
            <w:shd w:val="clear" w:color="auto" w:fill="CCCCCC"/>
            <w:vAlign w:val="center"/>
          </w:tcPr>
          <w:p w14:paraId="11F31529" w14:textId="77777777" w:rsidR="00E412A9" w:rsidRPr="00D05611" w:rsidRDefault="00E412A9" w:rsidP="00320920">
            <w:pPr>
              <w:spacing w:line="240" w:lineRule="auto"/>
            </w:pPr>
            <w:r w:rsidRPr="00D05611">
              <w:t>Description</w:t>
            </w:r>
          </w:p>
        </w:tc>
      </w:tr>
      <w:tr w:rsidR="00E412A9" w:rsidRPr="00D05611" w14:paraId="1E29059D" w14:textId="77777777" w:rsidTr="008A6BDD">
        <w:tc>
          <w:tcPr>
            <w:tcW w:w="2268" w:type="dxa"/>
            <w:vAlign w:val="center"/>
          </w:tcPr>
          <w:p w14:paraId="74C4F5AD" w14:textId="77777777" w:rsidR="00E412A9" w:rsidRPr="00D05611" w:rsidRDefault="00E412A9" w:rsidP="00320920">
            <w:pPr>
              <w:spacing w:line="240" w:lineRule="auto"/>
            </w:pPr>
            <w:r w:rsidRPr="00D05611">
              <w:t>Generation Energy</w:t>
            </w:r>
          </w:p>
        </w:tc>
        <w:tc>
          <w:tcPr>
            <w:tcW w:w="7290" w:type="dxa"/>
            <w:vAlign w:val="center"/>
          </w:tcPr>
          <w:p w14:paraId="4311D519" w14:textId="77777777" w:rsidR="00E412A9" w:rsidRPr="00D05611" w:rsidRDefault="00E412A9" w:rsidP="00CD0E8C">
            <w:pPr>
              <w:spacing w:line="240" w:lineRule="auto"/>
            </w:pPr>
            <w:r w:rsidRPr="00D05611">
              <w:t xml:space="preserve">Estimate of hourly wholesale value of energy </w:t>
            </w:r>
          </w:p>
        </w:tc>
      </w:tr>
      <w:tr w:rsidR="00E412A9" w:rsidRPr="00D05611" w14:paraId="003F5CD8" w14:textId="77777777" w:rsidTr="008A6BDD">
        <w:trPr>
          <w:cantSplit/>
        </w:trPr>
        <w:tc>
          <w:tcPr>
            <w:tcW w:w="2268" w:type="dxa"/>
            <w:vAlign w:val="center"/>
          </w:tcPr>
          <w:p w14:paraId="26C9103C" w14:textId="77777777" w:rsidR="00E412A9" w:rsidRPr="00D05611" w:rsidRDefault="007770E0" w:rsidP="00320920">
            <w:pPr>
              <w:spacing w:line="240" w:lineRule="auto"/>
            </w:pPr>
            <w:r>
              <w:t>Generation</w:t>
            </w:r>
            <w:r w:rsidR="00E412A9" w:rsidRPr="00D05611">
              <w:t xml:space="preserve"> Capacity</w:t>
            </w:r>
          </w:p>
        </w:tc>
        <w:tc>
          <w:tcPr>
            <w:tcW w:w="7290" w:type="dxa"/>
            <w:vAlign w:val="center"/>
          </w:tcPr>
          <w:p w14:paraId="0A808A1E" w14:textId="77777777" w:rsidR="00E412A9" w:rsidRPr="00D05611" w:rsidRDefault="00E412A9" w:rsidP="00F26268">
            <w:pPr>
              <w:spacing w:before="120" w:after="120" w:line="240" w:lineRule="auto"/>
            </w:pPr>
            <w:r w:rsidRPr="00D05611">
              <w:t>The costs of building new generation capacity to meet system peak loads</w:t>
            </w:r>
          </w:p>
        </w:tc>
      </w:tr>
      <w:tr w:rsidR="00E412A9" w:rsidRPr="00D05611" w14:paraId="512456C1" w14:textId="77777777" w:rsidTr="008A6BDD">
        <w:trPr>
          <w:cantSplit/>
        </w:trPr>
        <w:tc>
          <w:tcPr>
            <w:tcW w:w="2268" w:type="dxa"/>
            <w:vAlign w:val="center"/>
          </w:tcPr>
          <w:p w14:paraId="19D989F0" w14:textId="77777777" w:rsidR="00E412A9" w:rsidRPr="00D05611" w:rsidRDefault="00E412A9" w:rsidP="00320920">
            <w:pPr>
              <w:spacing w:line="240" w:lineRule="auto"/>
            </w:pPr>
            <w:r w:rsidRPr="00D05611">
              <w:t>Ancillary Services</w:t>
            </w:r>
          </w:p>
        </w:tc>
        <w:tc>
          <w:tcPr>
            <w:tcW w:w="7290" w:type="dxa"/>
            <w:vAlign w:val="center"/>
          </w:tcPr>
          <w:p w14:paraId="498D69E5" w14:textId="77777777" w:rsidR="00E412A9" w:rsidRPr="00D05611" w:rsidRDefault="00E412A9" w:rsidP="00F26268">
            <w:pPr>
              <w:spacing w:before="120" w:after="120" w:line="240" w:lineRule="auto"/>
            </w:pPr>
            <w:r w:rsidRPr="00D05611">
              <w:t>The marginal costs of providing system operations and reserves for electricity grid reliability</w:t>
            </w:r>
          </w:p>
        </w:tc>
      </w:tr>
      <w:tr w:rsidR="00E412A9" w:rsidRPr="00D05611" w14:paraId="4493C46D" w14:textId="77777777" w:rsidTr="008A6BDD">
        <w:trPr>
          <w:cantSplit/>
        </w:trPr>
        <w:tc>
          <w:tcPr>
            <w:tcW w:w="2268" w:type="dxa"/>
            <w:vAlign w:val="center"/>
          </w:tcPr>
          <w:p w14:paraId="7A2110FD" w14:textId="77777777" w:rsidR="00E412A9" w:rsidRPr="00D05611" w:rsidRDefault="00E412A9" w:rsidP="00320920">
            <w:pPr>
              <w:spacing w:line="240" w:lineRule="auto"/>
            </w:pPr>
            <w:r w:rsidRPr="00D05611">
              <w:t>T&amp;D Capacity</w:t>
            </w:r>
          </w:p>
        </w:tc>
        <w:tc>
          <w:tcPr>
            <w:tcW w:w="7290" w:type="dxa"/>
            <w:vAlign w:val="center"/>
          </w:tcPr>
          <w:p w14:paraId="6195A2CF" w14:textId="77777777" w:rsidR="00E412A9" w:rsidRPr="00D05611" w:rsidRDefault="00E412A9" w:rsidP="00F26268">
            <w:pPr>
              <w:spacing w:before="120" w:after="120" w:line="240" w:lineRule="auto"/>
            </w:pPr>
            <w:r w:rsidRPr="00D05611">
              <w:t>The costs of expanding transmission and distribution capacity to meet peak loads</w:t>
            </w:r>
          </w:p>
        </w:tc>
      </w:tr>
      <w:tr w:rsidR="00E412A9" w:rsidRPr="00D05611" w14:paraId="062D47B2" w14:textId="77777777" w:rsidTr="008A6BDD">
        <w:trPr>
          <w:cantSplit/>
        </w:trPr>
        <w:tc>
          <w:tcPr>
            <w:tcW w:w="2268" w:type="dxa"/>
            <w:vAlign w:val="center"/>
          </w:tcPr>
          <w:p w14:paraId="73E372A5" w14:textId="77777777" w:rsidR="00E412A9" w:rsidRPr="00D05611" w:rsidRDefault="00E412A9" w:rsidP="00320920">
            <w:pPr>
              <w:spacing w:line="240" w:lineRule="auto"/>
            </w:pPr>
            <w:r w:rsidRPr="00D05611">
              <w:t>Environment</w:t>
            </w:r>
          </w:p>
        </w:tc>
        <w:tc>
          <w:tcPr>
            <w:tcW w:w="7290" w:type="dxa"/>
            <w:vAlign w:val="center"/>
          </w:tcPr>
          <w:p w14:paraId="77B2171A" w14:textId="77777777" w:rsidR="00E412A9" w:rsidRPr="00D05611" w:rsidRDefault="00E412A9" w:rsidP="00F26268">
            <w:pPr>
              <w:spacing w:before="120" w:after="120" w:line="240" w:lineRule="auto"/>
            </w:pPr>
            <w:r w:rsidRPr="00D05611">
              <w:t>The cost of carbon dioxide emissions</w:t>
            </w:r>
            <w:r>
              <w:t xml:space="preserve"> </w:t>
            </w:r>
            <w:r w:rsidRPr="00D05611">
              <w:t>associated with the marginal generating resource</w:t>
            </w:r>
          </w:p>
        </w:tc>
      </w:tr>
      <w:tr w:rsidR="00E412A9" w:rsidRPr="00D05611" w14:paraId="04AF0BCC" w14:textId="77777777" w:rsidTr="008A6BDD">
        <w:trPr>
          <w:cantSplit/>
        </w:trPr>
        <w:tc>
          <w:tcPr>
            <w:tcW w:w="2268" w:type="dxa"/>
            <w:vAlign w:val="center"/>
          </w:tcPr>
          <w:p w14:paraId="122425E6" w14:textId="77777777" w:rsidR="00E412A9" w:rsidRPr="00D05611" w:rsidRDefault="00E412A9" w:rsidP="00320920">
            <w:pPr>
              <w:spacing w:line="240" w:lineRule="auto"/>
            </w:pPr>
            <w:r w:rsidRPr="00D05611">
              <w:t>Avoided RPS</w:t>
            </w:r>
          </w:p>
        </w:tc>
        <w:tc>
          <w:tcPr>
            <w:tcW w:w="7290" w:type="dxa"/>
            <w:vAlign w:val="center"/>
          </w:tcPr>
          <w:p w14:paraId="0FCE9ECE" w14:textId="6E3845F0" w:rsidR="00E412A9" w:rsidRPr="00D05611" w:rsidRDefault="00E412A9" w:rsidP="00F26268">
            <w:pPr>
              <w:spacing w:before="120" w:after="120" w:line="240" w:lineRule="auto"/>
            </w:pPr>
            <w:r w:rsidRPr="00D05611">
              <w:t xml:space="preserve">The </w:t>
            </w:r>
            <w:r w:rsidR="00BD1BAD">
              <w:t xml:space="preserve">reduced purchases of renewable generation at above-market prices required to </w:t>
            </w:r>
            <w:r w:rsidRPr="00D05611">
              <w:t xml:space="preserve">meet an RPS </w:t>
            </w:r>
            <w:r w:rsidR="00CC6E82">
              <w:t xml:space="preserve">standard </w:t>
            </w:r>
            <w:r w:rsidRPr="00D05611">
              <w:t>due to a reduction in retail loads</w:t>
            </w:r>
          </w:p>
        </w:tc>
      </w:tr>
    </w:tbl>
    <w:p w14:paraId="4A64451C" w14:textId="2D3D3236" w:rsidR="000145D0" w:rsidRDefault="00E412A9" w:rsidP="000145D0">
      <w:r>
        <w:lastRenderedPageBreak/>
        <w:br/>
      </w:r>
      <w:r w:rsidR="00CC6E82">
        <w:t xml:space="preserve">Each of these avoided costs is must be determined for every hour of the year.  </w:t>
      </w:r>
      <w:r>
        <w:t>The hourly granularity is obtained by shaping forecasts of the average value of each component with historical day-ahead and real-time energy prices and actual system loads reported by CAISO’s MRTU system for 201</w:t>
      </w:r>
      <w:r w:rsidR="00E4311E">
        <w:t>5</w:t>
      </w:r>
      <w:r>
        <w:t xml:space="preserve">; </w:t>
      </w:r>
      <w:r>
        <w:fldChar w:fldCharType="begin"/>
      </w:r>
      <w:r>
        <w:instrText xml:space="preserve"> REF _Ref273363944 \h </w:instrText>
      </w:r>
      <w:r w:rsidR="000145D0">
        <w:instrText xml:space="preserve"> \* MERGEFORMAT </w:instrText>
      </w:r>
      <w:r>
        <w:fldChar w:fldCharType="separate"/>
      </w:r>
      <w:r w:rsidR="00A05C18">
        <w:t xml:space="preserve">Table </w:t>
      </w:r>
      <w:r w:rsidR="00A05C18">
        <w:rPr>
          <w:noProof/>
        </w:rPr>
        <w:t>2</w:t>
      </w:r>
      <w:r>
        <w:fldChar w:fldCharType="end"/>
      </w:r>
      <w:r>
        <w:t xml:space="preserve"> summarizes the methodology applied to each component to develop this level of granularity.</w:t>
      </w:r>
    </w:p>
    <w:p w14:paraId="03BC1F43" w14:textId="18D855A2" w:rsidR="00E412A9" w:rsidRDefault="00E412A9" w:rsidP="00087461">
      <w:pPr>
        <w:pStyle w:val="Caption"/>
      </w:pPr>
      <w:bookmarkStart w:id="11" w:name="_Ref273363944"/>
      <w:r>
        <w:t xml:space="preserve">Table </w:t>
      </w:r>
      <w:fldSimple w:instr=" SEQ Table \* ARABIC ">
        <w:r w:rsidR="006B2392">
          <w:rPr>
            <w:noProof/>
          </w:rPr>
          <w:t>2</w:t>
        </w:r>
      </w:fldSimple>
      <w:bookmarkEnd w:id="11"/>
      <w:r>
        <w:t>. Summary of methodology for</w:t>
      </w:r>
      <w:r w:rsidR="000514E9">
        <w:t xml:space="preserve"> electricity</w:t>
      </w:r>
      <w:r>
        <w:t xml:space="preserve"> avoided cost component forecasts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3475"/>
        <w:gridCol w:w="3472"/>
      </w:tblGrid>
      <w:tr w:rsidR="00E412A9" w:rsidRPr="00D05611" w14:paraId="0D4D7038" w14:textId="77777777" w:rsidTr="25ED4B98">
        <w:tc>
          <w:tcPr>
            <w:tcW w:w="2448" w:type="dxa"/>
            <w:shd w:val="clear" w:color="auto" w:fill="CCCCCC"/>
          </w:tcPr>
          <w:p w14:paraId="630809E1" w14:textId="77777777" w:rsidR="00E412A9" w:rsidRPr="00D05611" w:rsidRDefault="00E412A9" w:rsidP="000145D0">
            <w:r w:rsidRPr="00D05611">
              <w:t>Component</w:t>
            </w:r>
          </w:p>
        </w:tc>
        <w:tc>
          <w:tcPr>
            <w:tcW w:w="3566" w:type="dxa"/>
            <w:shd w:val="clear" w:color="auto" w:fill="CCCCCC"/>
          </w:tcPr>
          <w:p w14:paraId="466FF3F3" w14:textId="77777777" w:rsidR="00E412A9" w:rsidRPr="00D05611" w:rsidRDefault="00E412A9" w:rsidP="000145D0">
            <w:r w:rsidRPr="00D05611">
              <w:t>Basis of Annual Forecast</w:t>
            </w:r>
          </w:p>
        </w:tc>
        <w:tc>
          <w:tcPr>
            <w:tcW w:w="3562" w:type="dxa"/>
            <w:shd w:val="clear" w:color="auto" w:fill="CCCCCC"/>
          </w:tcPr>
          <w:p w14:paraId="4FEE8ABE" w14:textId="77777777" w:rsidR="00E412A9" w:rsidRPr="00D05611" w:rsidRDefault="00E412A9" w:rsidP="000145D0">
            <w:r w:rsidRPr="00D05611">
              <w:t>Basis of Hourly Shape</w:t>
            </w:r>
          </w:p>
        </w:tc>
      </w:tr>
      <w:tr w:rsidR="00E412A9" w:rsidRPr="00D05611" w14:paraId="4DC4591E"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ED6DBF9" w14:textId="77777777" w:rsidR="00E412A9" w:rsidRPr="00D05611" w:rsidRDefault="00E412A9" w:rsidP="000145D0">
            <w:pPr>
              <w:pStyle w:val="Table"/>
            </w:pPr>
            <w:r w:rsidRPr="00D05611">
              <w:t>Generation Energy</w:t>
            </w:r>
          </w:p>
        </w:tc>
        <w:tc>
          <w:tcPr>
            <w:tcW w:w="3566" w:type="dxa"/>
            <w:tcBorders>
              <w:top w:val="single" w:sz="4" w:space="0" w:color="auto"/>
              <w:left w:val="single" w:sz="4" w:space="0" w:color="auto"/>
              <w:bottom w:val="single" w:sz="4" w:space="0" w:color="auto"/>
              <w:right w:val="single" w:sz="4" w:space="0" w:color="auto"/>
            </w:tcBorders>
            <w:vAlign w:val="center"/>
          </w:tcPr>
          <w:p w14:paraId="43C1D22C" w14:textId="77777777" w:rsidR="00E412A9" w:rsidRPr="00D05611" w:rsidRDefault="00BD1BAD" w:rsidP="008D6145">
            <w:pPr>
              <w:pStyle w:val="Table"/>
            </w:pPr>
            <w:r>
              <w:t>Forward market prices and the</w:t>
            </w:r>
            <w:r w:rsidR="008D6145">
              <w:t xml:space="preserve"> $/kWh fixed and variable operating costs of a CCGT. </w:t>
            </w:r>
          </w:p>
        </w:tc>
        <w:tc>
          <w:tcPr>
            <w:tcW w:w="3562" w:type="dxa"/>
            <w:tcBorders>
              <w:top w:val="single" w:sz="4" w:space="0" w:color="auto"/>
              <w:left w:val="single" w:sz="4" w:space="0" w:color="auto"/>
              <w:bottom w:val="single" w:sz="4" w:space="0" w:color="auto"/>
              <w:right w:val="single" w:sz="4" w:space="0" w:color="auto"/>
            </w:tcBorders>
            <w:vAlign w:val="center"/>
          </w:tcPr>
          <w:p w14:paraId="7DA8BF6B" w14:textId="77777777" w:rsidR="00E412A9" w:rsidRPr="00D05611" w:rsidRDefault="00E412A9" w:rsidP="000145D0">
            <w:pPr>
              <w:pStyle w:val="Table"/>
            </w:pPr>
            <w:r w:rsidRPr="00D05611">
              <w:t>Historical hourly day-ahead market price shapes from MRTU OASIS</w:t>
            </w:r>
          </w:p>
        </w:tc>
      </w:tr>
      <w:tr w:rsidR="00E412A9" w:rsidRPr="00D05611" w14:paraId="72B002DF"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09BA773" w14:textId="77777777" w:rsidR="00E412A9" w:rsidRPr="00D05611" w:rsidRDefault="007770E0" w:rsidP="000145D0">
            <w:pPr>
              <w:pStyle w:val="Table"/>
            </w:pPr>
            <w:r>
              <w:t>Generation</w:t>
            </w:r>
            <w:r w:rsidR="00E412A9" w:rsidRPr="00D05611">
              <w:t xml:space="preserve"> Capacity</w:t>
            </w:r>
          </w:p>
        </w:tc>
        <w:tc>
          <w:tcPr>
            <w:tcW w:w="3566" w:type="dxa"/>
            <w:tcBorders>
              <w:top w:val="single" w:sz="4" w:space="0" w:color="auto"/>
              <w:left w:val="single" w:sz="4" w:space="0" w:color="auto"/>
              <w:bottom w:val="single" w:sz="4" w:space="0" w:color="auto"/>
              <w:right w:val="single" w:sz="4" w:space="0" w:color="auto"/>
            </w:tcBorders>
            <w:vAlign w:val="center"/>
          </w:tcPr>
          <w:p w14:paraId="6E738831" w14:textId="77777777" w:rsidR="00E412A9" w:rsidRPr="00D05611" w:rsidRDefault="008D6145" w:rsidP="008D6145">
            <w:pPr>
              <w:pStyle w:val="Table"/>
            </w:pPr>
            <w:r>
              <w:t>Residual capacity value</w:t>
            </w:r>
            <w:r w:rsidR="00E412A9" w:rsidRPr="00D05611">
              <w:t xml:space="preserve"> a new simple-cycle combustion turbine</w:t>
            </w:r>
          </w:p>
        </w:tc>
        <w:tc>
          <w:tcPr>
            <w:tcW w:w="3562" w:type="dxa"/>
            <w:tcBorders>
              <w:top w:val="single" w:sz="4" w:space="0" w:color="auto"/>
              <w:left w:val="single" w:sz="4" w:space="0" w:color="auto"/>
              <w:bottom w:val="single" w:sz="4" w:space="0" w:color="auto"/>
              <w:right w:val="single" w:sz="4" w:space="0" w:color="auto"/>
            </w:tcBorders>
            <w:vAlign w:val="center"/>
          </w:tcPr>
          <w:p w14:paraId="613CC074" w14:textId="3601B268" w:rsidR="00E412A9" w:rsidRPr="00D05611" w:rsidRDefault="00E4311E" w:rsidP="008D6145">
            <w:pPr>
              <w:pStyle w:val="Table"/>
            </w:pPr>
            <w:r>
              <w:t xml:space="preserve">RECAP model that generates outage probabilities by </w:t>
            </w:r>
            <w:r w:rsidR="00652ADA">
              <w:t>mont</w:t>
            </w:r>
            <w:r w:rsidR="007072E1">
              <w:t>h</w:t>
            </w:r>
            <w:r w:rsidR="007072E1" w:rsidRPr="25ED4B98">
              <w:t>/</w:t>
            </w:r>
            <w:r>
              <w:t>hour, and allocates the probabili</w:t>
            </w:r>
            <w:r w:rsidR="007072E1">
              <w:t>ties within each month/hour based on 2015 weather.</w:t>
            </w:r>
          </w:p>
        </w:tc>
      </w:tr>
      <w:tr w:rsidR="00E412A9" w:rsidRPr="00D05611" w14:paraId="539D3D58"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56B11F5" w14:textId="77777777" w:rsidR="00E412A9" w:rsidRPr="00D05611" w:rsidRDefault="00E412A9" w:rsidP="000145D0">
            <w:pPr>
              <w:pStyle w:val="Table"/>
            </w:pPr>
            <w:r w:rsidRPr="00D05611">
              <w:t>Ancillary Services</w:t>
            </w:r>
          </w:p>
        </w:tc>
        <w:tc>
          <w:tcPr>
            <w:tcW w:w="3566" w:type="dxa"/>
            <w:tcBorders>
              <w:top w:val="single" w:sz="4" w:space="0" w:color="auto"/>
              <w:left w:val="single" w:sz="4" w:space="0" w:color="auto"/>
              <w:bottom w:val="single" w:sz="4" w:space="0" w:color="auto"/>
              <w:right w:val="single" w:sz="4" w:space="0" w:color="auto"/>
            </w:tcBorders>
            <w:vAlign w:val="center"/>
          </w:tcPr>
          <w:p w14:paraId="579CC20A" w14:textId="77777777" w:rsidR="00E412A9" w:rsidRPr="00D05611" w:rsidRDefault="008D6145" w:rsidP="008D6145">
            <w:pPr>
              <w:pStyle w:val="Table"/>
            </w:pPr>
            <w:r>
              <w:t xml:space="preserve">Percentage of Generation Energy value </w:t>
            </w:r>
          </w:p>
        </w:tc>
        <w:tc>
          <w:tcPr>
            <w:tcW w:w="3562" w:type="dxa"/>
            <w:tcBorders>
              <w:top w:val="single" w:sz="4" w:space="0" w:color="auto"/>
              <w:left w:val="single" w:sz="4" w:space="0" w:color="auto"/>
              <w:bottom w:val="single" w:sz="4" w:space="0" w:color="auto"/>
              <w:right w:val="single" w:sz="4" w:space="0" w:color="auto"/>
            </w:tcBorders>
            <w:vAlign w:val="center"/>
          </w:tcPr>
          <w:p w14:paraId="33CCD1E6" w14:textId="77777777" w:rsidR="00E412A9" w:rsidRPr="00D05611" w:rsidRDefault="00E412A9" w:rsidP="000145D0">
            <w:pPr>
              <w:pStyle w:val="Table"/>
            </w:pPr>
            <w:r w:rsidRPr="00D05611">
              <w:t>Directly linked with energy shape</w:t>
            </w:r>
          </w:p>
        </w:tc>
      </w:tr>
      <w:tr w:rsidR="00E412A9" w:rsidRPr="00D05611" w14:paraId="42231AFD"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2473C2C" w14:textId="77777777" w:rsidR="00E412A9" w:rsidRPr="00D05611" w:rsidRDefault="00E412A9" w:rsidP="000145D0">
            <w:pPr>
              <w:pStyle w:val="Table"/>
            </w:pPr>
            <w:r w:rsidRPr="00D05611">
              <w:t>T&amp;D Capacity</w:t>
            </w:r>
          </w:p>
        </w:tc>
        <w:tc>
          <w:tcPr>
            <w:tcW w:w="3566" w:type="dxa"/>
            <w:tcBorders>
              <w:top w:val="single" w:sz="4" w:space="0" w:color="auto"/>
              <w:left w:val="single" w:sz="4" w:space="0" w:color="auto"/>
              <w:bottom w:val="single" w:sz="4" w:space="0" w:color="auto"/>
              <w:right w:val="single" w:sz="4" w:space="0" w:color="auto"/>
            </w:tcBorders>
            <w:vAlign w:val="center"/>
          </w:tcPr>
          <w:p w14:paraId="11DC50B5" w14:textId="77777777" w:rsidR="00E412A9" w:rsidRPr="00D05611" w:rsidRDefault="008D6145" w:rsidP="008D6145">
            <w:pPr>
              <w:pStyle w:val="Table"/>
            </w:pPr>
            <w:r>
              <w:t>Marginal t</w:t>
            </w:r>
            <w:r w:rsidR="00E412A9" w:rsidRPr="00D05611">
              <w:t xml:space="preserve">ransmission and distribution </w:t>
            </w:r>
            <w:r w:rsidR="00003F5F">
              <w:t>costs from utility ratemaking filings.</w:t>
            </w:r>
          </w:p>
        </w:tc>
        <w:tc>
          <w:tcPr>
            <w:tcW w:w="3562" w:type="dxa"/>
            <w:tcBorders>
              <w:top w:val="single" w:sz="4" w:space="0" w:color="auto"/>
              <w:left w:val="single" w:sz="4" w:space="0" w:color="auto"/>
              <w:bottom w:val="single" w:sz="4" w:space="0" w:color="auto"/>
              <w:right w:val="single" w:sz="4" w:space="0" w:color="auto"/>
            </w:tcBorders>
            <w:vAlign w:val="center"/>
          </w:tcPr>
          <w:p w14:paraId="4C10F8BC" w14:textId="03AEC2D2" w:rsidR="00E412A9" w:rsidRPr="00D05611" w:rsidRDefault="008D6145" w:rsidP="008D6145">
            <w:pPr>
              <w:pStyle w:val="Table"/>
            </w:pPr>
            <w:r>
              <w:t>H</w:t>
            </w:r>
            <w:r w:rsidR="007072E1">
              <w:t>ourly temperature data.  Unchanged in this update.</w:t>
            </w:r>
          </w:p>
        </w:tc>
      </w:tr>
      <w:tr w:rsidR="00E412A9" w:rsidRPr="00D05611" w14:paraId="479CA8C6"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7CF3BD1" w14:textId="77777777" w:rsidR="00E412A9" w:rsidRPr="00D05611" w:rsidRDefault="00E412A9" w:rsidP="000145D0">
            <w:pPr>
              <w:pStyle w:val="Table"/>
            </w:pPr>
            <w:r w:rsidRPr="00D05611">
              <w:t>Environment</w:t>
            </w:r>
          </w:p>
        </w:tc>
        <w:tc>
          <w:tcPr>
            <w:tcW w:w="3566" w:type="dxa"/>
            <w:tcBorders>
              <w:top w:val="single" w:sz="4" w:space="0" w:color="auto"/>
              <w:left w:val="single" w:sz="4" w:space="0" w:color="auto"/>
              <w:bottom w:val="single" w:sz="4" w:space="0" w:color="auto"/>
              <w:right w:val="single" w:sz="4" w:space="0" w:color="auto"/>
            </w:tcBorders>
            <w:vAlign w:val="center"/>
          </w:tcPr>
          <w:p w14:paraId="4436ADF2" w14:textId="7826FD04" w:rsidR="00E412A9" w:rsidRPr="00D05611" w:rsidRDefault="007072E1" w:rsidP="000145D0">
            <w:pPr>
              <w:pStyle w:val="Table"/>
            </w:pPr>
            <w:r>
              <w:t xml:space="preserve">CO2 cost forecast from </w:t>
            </w:r>
            <w:r w:rsidRPr="008A6BDD">
              <w:t>2015 IEPR mid-demand forecast</w:t>
            </w:r>
            <w:r w:rsidR="001A3909">
              <w:t>, escalated at inflation beyond 2030.</w:t>
            </w:r>
          </w:p>
        </w:tc>
        <w:tc>
          <w:tcPr>
            <w:tcW w:w="3562" w:type="dxa"/>
            <w:tcBorders>
              <w:top w:val="single" w:sz="4" w:space="0" w:color="auto"/>
              <w:left w:val="single" w:sz="4" w:space="0" w:color="auto"/>
              <w:bottom w:val="single" w:sz="4" w:space="0" w:color="auto"/>
              <w:right w:val="single" w:sz="4" w:space="0" w:color="auto"/>
            </w:tcBorders>
            <w:vAlign w:val="center"/>
          </w:tcPr>
          <w:p w14:paraId="00BC01C6" w14:textId="77777777" w:rsidR="00E412A9" w:rsidRPr="00D05611" w:rsidRDefault="00E412A9" w:rsidP="008D6145">
            <w:pPr>
              <w:pStyle w:val="Table"/>
            </w:pPr>
            <w:r w:rsidRPr="00D05611">
              <w:t>Directly linked with energy shape with bounds on the maximum and minimum hourly value</w:t>
            </w:r>
          </w:p>
        </w:tc>
      </w:tr>
      <w:tr w:rsidR="00E412A9" w:rsidRPr="00D05611" w14:paraId="4790D633"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0039556" w14:textId="77777777" w:rsidR="00E412A9" w:rsidRPr="00D05611" w:rsidRDefault="00E412A9" w:rsidP="000145D0">
            <w:pPr>
              <w:pStyle w:val="Table"/>
            </w:pPr>
            <w:r w:rsidRPr="00D05611">
              <w:t>Avoided RPS</w:t>
            </w:r>
          </w:p>
        </w:tc>
        <w:tc>
          <w:tcPr>
            <w:tcW w:w="3566" w:type="dxa"/>
            <w:tcBorders>
              <w:top w:val="single" w:sz="4" w:space="0" w:color="auto"/>
              <w:left w:val="single" w:sz="4" w:space="0" w:color="auto"/>
              <w:bottom w:val="single" w:sz="4" w:space="0" w:color="auto"/>
              <w:right w:val="single" w:sz="4" w:space="0" w:color="auto"/>
            </w:tcBorders>
            <w:vAlign w:val="center"/>
          </w:tcPr>
          <w:p w14:paraId="0484EEA5" w14:textId="77777777" w:rsidR="00E412A9" w:rsidRPr="00D05611" w:rsidRDefault="00E412A9" w:rsidP="000145D0">
            <w:pPr>
              <w:pStyle w:val="Table"/>
            </w:pPr>
            <w:r w:rsidRPr="00D05611">
              <w:t>Cost of a marginal renewable resource less the energy</w:t>
            </w:r>
            <w:r w:rsidR="00EF385A">
              <w:t xml:space="preserve"> market</w:t>
            </w:r>
            <w:r w:rsidRPr="00D05611">
              <w:t xml:space="preserve"> and capacity value associated with that resource</w:t>
            </w:r>
          </w:p>
        </w:tc>
        <w:tc>
          <w:tcPr>
            <w:tcW w:w="3562" w:type="dxa"/>
            <w:tcBorders>
              <w:top w:val="single" w:sz="4" w:space="0" w:color="auto"/>
              <w:left w:val="single" w:sz="4" w:space="0" w:color="auto"/>
              <w:bottom w:val="single" w:sz="4" w:space="0" w:color="auto"/>
              <w:right w:val="single" w:sz="4" w:space="0" w:color="auto"/>
            </w:tcBorders>
            <w:vAlign w:val="center"/>
          </w:tcPr>
          <w:p w14:paraId="7AC3E0B7" w14:textId="14A3F6C5" w:rsidR="00E412A9" w:rsidRPr="00D05611" w:rsidRDefault="00E412A9" w:rsidP="007072E1">
            <w:pPr>
              <w:pStyle w:val="Table"/>
            </w:pPr>
            <w:r w:rsidRPr="00D05611">
              <w:t>Flat across all hours</w:t>
            </w:r>
            <w:r w:rsidR="007072E1" w:rsidRPr="0AF07EAD">
              <w:t xml:space="preserve">. </w:t>
            </w:r>
          </w:p>
        </w:tc>
      </w:tr>
    </w:tbl>
    <w:p w14:paraId="1A7636F9" w14:textId="77777777" w:rsidR="000145D0" w:rsidRDefault="000145D0" w:rsidP="000145D0"/>
    <w:p w14:paraId="4427BD22" w14:textId="1E18C6DB" w:rsidR="00E412A9" w:rsidRDefault="00E412A9" w:rsidP="000145D0">
      <w:r>
        <w:lastRenderedPageBreak/>
        <w:fldChar w:fldCharType="begin"/>
      </w:r>
      <w:r>
        <w:instrText xml:space="preserve"> REF _Ref248225677 \h </w:instrText>
      </w:r>
      <w:r>
        <w:fldChar w:fldCharType="separate"/>
      </w:r>
      <w:r w:rsidR="00A05C18">
        <w:t xml:space="preserve">Figure </w:t>
      </w:r>
      <w:r w:rsidR="00A05C18">
        <w:rPr>
          <w:noProof/>
        </w:rPr>
        <w:t>3</w:t>
      </w:r>
      <w:r>
        <w:fldChar w:fldCharType="end"/>
      </w:r>
      <w:r>
        <w:t>, below, shows a three-day snapshot of the avoided costs, broken out by component,</w:t>
      </w:r>
      <w:r w:rsidR="00C03B4C">
        <w:t xml:space="preserve"> in Climate Zone 4</w:t>
      </w:r>
      <w:r>
        <w:t xml:space="preserve">. As shown, the cost of </w:t>
      </w:r>
      <w:r w:rsidRPr="000145D0">
        <w:t>providing</w:t>
      </w:r>
      <w:r>
        <w:t xml:space="preserve"> an additional unit of electricity is significantly higher in the summer a</w:t>
      </w:r>
      <w:r w:rsidRPr="000145D0">
        <w:t>f</w:t>
      </w:r>
      <w:r>
        <w:t xml:space="preserve">ternoons than in the very early morning hours.  This chart also shows the relative magnitude of different components in this region in the summer for these days.  The highest peaks of total cost shown in </w:t>
      </w:r>
      <w:r>
        <w:fldChar w:fldCharType="begin"/>
      </w:r>
      <w:r>
        <w:instrText xml:space="preserve"> REF _Ref248225677 \h </w:instrText>
      </w:r>
      <w:r>
        <w:fldChar w:fldCharType="separate"/>
      </w:r>
      <w:r w:rsidR="00A05C18">
        <w:t xml:space="preserve">Figure </w:t>
      </w:r>
      <w:r w:rsidR="00A05C18">
        <w:rPr>
          <w:noProof/>
        </w:rPr>
        <w:t>3</w:t>
      </w:r>
      <w:r>
        <w:fldChar w:fldCharType="end"/>
      </w:r>
      <w:r>
        <w:t xml:space="preserve"> of over </w:t>
      </w:r>
      <w:r w:rsidRPr="008A6BDD">
        <w:t>$</w:t>
      </w:r>
      <w:r w:rsidR="00652ADA">
        <w:t>10</w:t>
      </w:r>
      <w:r w:rsidR="001C712F" w:rsidRPr="008A6BDD">
        <w:t>,</w:t>
      </w:r>
      <w:r w:rsidR="1ADBD408" w:rsidRPr="008A6BDD">
        <w:t>0</w:t>
      </w:r>
      <w:r w:rsidR="001C712F" w:rsidRPr="008A6BDD">
        <w:t>00</w:t>
      </w:r>
      <w:r w:rsidRPr="008A6BDD">
        <w:t>/MWh</w:t>
      </w:r>
      <w:r>
        <w:t xml:space="preserve"> are driven primarily by the allocation of generation and T&amp;D capacity to the </w:t>
      </w:r>
      <w:r w:rsidR="001C712F">
        <w:t>peak</w:t>
      </w:r>
      <w:r>
        <w:t xml:space="preserve"> hours</w:t>
      </w:r>
      <w:r w:rsidR="00BB533C">
        <w:t xml:space="preserve"> (because of high demand in those hours)</w:t>
      </w:r>
      <w:r>
        <w:t xml:space="preserve">, but also by higher energy </w:t>
      </w:r>
      <w:r w:rsidR="001C712F">
        <w:t xml:space="preserve">market </w:t>
      </w:r>
      <w:r>
        <w:t>prices during the middle of the day.</w:t>
      </w:r>
    </w:p>
    <w:p w14:paraId="438F908D" w14:textId="4B06AB0C" w:rsidR="00E412A9" w:rsidRDefault="00E412A9" w:rsidP="00087461">
      <w:pPr>
        <w:pStyle w:val="Caption"/>
      </w:pPr>
      <w:bookmarkStart w:id="12" w:name="_Ref248225677"/>
      <w:r w:rsidRPr="0D130F2A">
        <w:t xml:space="preserve">Figure </w:t>
      </w:r>
      <w:fldSimple w:instr=" SEQ Figure \* ARABIC ">
        <w:r w:rsidR="001068CE">
          <w:rPr>
            <w:noProof/>
          </w:rPr>
          <w:t>3</w:t>
        </w:r>
      </w:fldSimple>
      <w:bookmarkEnd w:id="12"/>
      <w:r w:rsidRPr="0D130F2A">
        <w:t>. Three-day s</w:t>
      </w:r>
      <w:r w:rsidR="00652ADA">
        <w:t>napshot of energy values in CZ4</w:t>
      </w:r>
      <w:r w:rsidR="001C712F" w:rsidRPr="0D130F2A">
        <w:t xml:space="preserve"> in 2017</w:t>
      </w:r>
    </w:p>
    <w:p w14:paraId="6DA8CE85" w14:textId="21D73819" w:rsidR="1ADBD408" w:rsidRDefault="00652ADA">
      <w:r w:rsidRPr="00652ADA">
        <w:rPr>
          <w:noProof/>
        </w:rPr>
        <w:drawing>
          <wp:inline distT="0" distB="0" distL="0" distR="0" wp14:anchorId="1E673539" wp14:editId="727F4DB8">
            <wp:extent cx="5943600" cy="28947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4701"/>
                    </a:xfrm>
                    <a:prstGeom prst="rect">
                      <a:avLst/>
                    </a:prstGeom>
                    <a:noFill/>
                    <a:ln>
                      <a:noFill/>
                    </a:ln>
                  </pic:spPr>
                </pic:pic>
              </a:graphicData>
            </a:graphic>
          </wp:inline>
        </w:drawing>
      </w:r>
    </w:p>
    <w:p w14:paraId="7AA8D6DE" w14:textId="3D390407" w:rsidR="00E412A9" w:rsidRDefault="00F162F5" w:rsidP="000145D0">
      <w:r>
        <w:fldChar w:fldCharType="begin"/>
      </w:r>
      <w:r>
        <w:instrText xml:space="preserve"> REF _Ref452465814 \h </w:instrText>
      </w:r>
      <w:r>
        <w:fldChar w:fldCharType="separate"/>
      </w:r>
      <w:r>
        <w:t xml:space="preserve">Figure </w:t>
      </w:r>
      <w:r>
        <w:rPr>
          <w:noProof/>
        </w:rPr>
        <w:t>4</w:t>
      </w:r>
      <w:r>
        <w:fldChar w:fldCharType="end"/>
      </w:r>
      <w:r>
        <w:t xml:space="preserve"> </w:t>
      </w:r>
      <w:r w:rsidR="00E412A9">
        <w:t xml:space="preserve">shows average monthly value of </w:t>
      </w:r>
      <w:r w:rsidR="001C712F">
        <w:t>electricity</w:t>
      </w:r>
      <w:r w:rsidR="00E412A9">
        <w:t xml:space="preserve"> reductions, revealing the seasonal characteristics of the avoided costs.  The energy component dips in the spring, reflecting </w:t>
      </w:r>
      <w:r w:rsidR="00BB533C">
        <w:t xml:space="preserve">low energy prices due to </w:t>
      </w:r>
      <w:r w:rsidR="00E412A9">
        <w:t xml:space="preserve">increased hydro supplies and imports from the Northwest; and peaks in the summer months when demand for electricity is highest.  The value of capacity—both generation and T&amp;D—is concentrated in the summer months and results in significantly more value on average in these months.  </w:t>
      </w:r>
    </w:p>
    <w:p w14:paraId="57EA8B78" w14:textId="7BE9D54C" w:rsidR="00E412A9" w:rsidRPr="000145D0" w:rsidRDefault="00F162F5" w:rsidP="00F162F5">
      <w:pPr>
        <w:pStyle w:val="Caption"/>
      </w:pPr>
      <w:bookmarkStart w:id="13" w:name="_Ref452465814"/>
      <w:r>
        <w:lastRenderedPageBreak/>
        <w:t xml:space="preserve">Figure </w:t>
      </w:r>
      <w:fldSimple w:instr=" SEQ Figure \* ARABIC ">
        <w:r w:rsidR="001068CE">
          <w:rPr>
            <w:noProof/>
          </w:rPr>
          <w:t>4</w:t>
        </w:r>
      </w:fldSimple>
      <w:bookmarkEnd w:id="13"/>
      <w:r>
        <w:t xml:space="preserve">: </w:t>
      </w:r>
      <w:r w:rsidR="18005959">
        <w:t>Average monthly avoided cost in CZ13 in 2017</w:t>
      </w:r>
    </w:p>
    <w:p w14:paraId="3CD39970" w14:textId="3408052E" w:rsidR="57EA8B78" w:rsidRDefault="00E412A9">
      <w:r>
        <w:rPr>
          <w:b/>
          <w:bCs/>
          <w:noProof/>
        </w:rPr>
        <w:drawing>
          <wp:inline distT="0" distB="0" distL="0" distR="0" wp14:anchorId="34030A86" wp14:editId="45A1C4B6">
            <wp:extent cx="5943600" cy="3200400"/>
            <wp:effectExtent l="0" t="0" r="0" b="0"/>
            <wp:docPr id="184147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124CA6B" w14:textId="4C832222" w:rsidR="00E412A9" w:rsidRDefault="00E412A9" w:rsidP="000145D0">
      <w:r>
        <w:fldChar w:fldCharType="begin"/>
      </w:r>
      <w:r>
        <w:instrText xml:space="preserve"> REF _Ref248225655 \h </w:instrText>
      </w:r>
      <w:r>
        <w:fldChar w:fldCharType="separate"/>
      </w:r>
      <w:r w:rsidR="00A05C18">
        <w:t xml:space="preserve">Figure </w:t>
      </w:r>
      <w:r w:rsidR="00A05C18">
        <w:rPr>
          <w:noProof/>
        </w:rPr>
        <w:t>5</w:t>
      </w:r>
      <w:r>
        <w:fldChar w:fldCharType="end"/>
      </w:r>
      <w:r>
        <w:t xml:space="preserve"> shows the components of value for the highest value hours in sorted order of cost.  This chart shows the relative contribution to the highest hours of the year by component.  Note that most of the high cost hours occur in approximately the top 200 to 400 hours—this is because most of the value associated with capacity is concentrated in a limited number of hours.  While the timing and magnitude of these high costs differ by climate zone, the concentration of value in the high load hours is a characteristic of the avoided costs in all of California.</w:t>
      </w:r>
    </w:p>
    <w:p w14:paraId="775EEB8D" w14:textId="31012C8F" w:rsidR="00E412A9" w:rsidRDefault="00E412A9" w:rsidP="00087461">
      <w:pPr>
        <w:pStyle w:val="Caption"/>
      </w:pPr>
      <w:bookmarkStart w:id="14" w:name="_Ref248225655"/>
      <w:r w:rsidRPr="37120796">
        <w:lastRenderedPageBreak/>
        <w:t xml:space="preserve">Figure </w:t>
      </w:r>
      <w:fldSimple w:instr=" SEQ Figure \* ARABIC ">
        <w:r w:rsidR="001068CE">
          <w:rPr>
            <w:noProof/>
          </w:rPr>
          <w:t>5</w:t>
        </w:r>
      </w:fldSimple>
      <w:bookmarkEnd w:id="14"/>
      <w:r w:rsidRPr="37120796">
        <w:t xml:space="preserve">. Price duration curve showing top 1,000 hours for CZ13 </w:t>
      </w:r>
      <w:r w:rsidR="001359AF" w:rsidRPr="37120796">
        <w:t>in 2017</w:t>
      </w:r>
    </w:p>
    <w:p w14:paraId="1DD42FF5" w14:textId="576864A0" w:rsidR="775EEB8D" w:rsidRDefault="00E412A9">
      <w:r>
        <w:rPr>
          <w:b/>
          <w:bCs/>
          <w:noProof/>
        </w:rPr>
        <w:drawing>
          <wp:inline distT="0" distB="0" distL="0" distR="0" wp14:anchorId="7CE7119A" wp14:editId="3728D213">
            <wp:extent cx="5943600" cy="2962275"/>
            <wp:effectExtent l="0" t="0" r="0" b="0"/>
            <wp:docPr id="155816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1622D02" w14:textId="77777777" w:rsidR="00E412A9" w:rsidRDefault="00E412A9" w:rsidP="000145D0"/>
    <w:p w14:paraId="4E656B8F" w14:textId="77777777" w:rsidR="00AE63A1" w:rsidRPr="00C40E73" w:rsidRDefault="00003F5F">
      <w:pPr>
        <w:pStyle w:val="Heading1"/>
        <w:rPr>
          <w:lang w:val="en-US"/>
        </w:rPr>
      </w:pPr>
      <w:r>
        <w:br w:type="page"/>
      </w:r>
      <w:bookmarkStart w:id="15" w:name="_Toc493516860"/>
      <w:r w:rsidR="00046DA9">
        <w:lastRenderedPageBreak/>
        <w:t xml:space="preserve">Avoided Cost </w:t>
      </w:r>
      <w:r w:rsidR="00CC5EF2">
        <w:rPr>
          <w:lang w:val="en-US"/>
        </w:rPr>
        <w:t>Methodology</w:t>
      </w:r>
      <w:bookmarkEnd w:id="15"/>
    </w:p>
    <w:p w14:paraId="23DC31E1" w14:textId="77777777" w:rsidR="005F3B80" w:rsidRDefault="005F3B80" w:rsidP="008A6BDD">
      <w:pPr>
        <w:pStyle w:val="Heading2"/>
      </w:pPr>
      <w:bookmarkStart w:id="16" w:name="_Toc493516861"/>
      <w:r>
        <w:t xml:space="preserve">Generation </w:t>
      </w:r>
      <w:r w:rsidR="00CC5EF2">
        <w:t>Energy</w:t>
      </w:r>
      <w:bookmarkEnd w:id="16"/>
    </w:p>
    <w:p w14:paraId="517251EA" w14:textId="3E8F3651" w:rsidR="005F3B80" w:rsidRPr="005F3B80" w:rsidRDefault="005F3B80" w:rsidP="005F3B80">
      <w:r>
        <w:t>The treatment of generation avoided costs receive</w:t>
      </w:r>
      <w:r w:rsidR="004D1CFA">
        <w:t>s</w:t>
      </w:r>
      <w:r w:rsidRPr="37D802BE">
        <w:t xml:space="preserve"> </w:t>
      </w:r>
      <w:r w:rsidR="004D1CFA">
        <w:t xml:space="preserve">a methodology update in 2016 to reflect the recognition of carbon prices in the electricity market price forecasts.  </w:t>
      </w:r>
      <w:r w:rsidRPr="37D802BE">
        <w:t xml:space="preserve"> </w:t>
      </w:r>
      <w:r w:rsidR="004D1CFA">
        <w:t xml:space="preserve">The prior 2011 update </w:t>
      </w:r>
      <w:proofErr w:type="gramStart"/>
      <w:r w:rsidR="004D1CFA">
        <w:t>was able to</w:t>
      </w:r>
      <w:proofErr w:type="gramEnd"/>
      <w:r w:rsidR="004D1CFA">
        <w:t xml:space="preserve"> rely upon market price data that pre-dated the Cap-and-Trade Program.  The updated methodology starts with market prices that include CO2 costs, and decomposes the market price into an energy component and a CO2 component based on the 2015 IEPR CO2 prices and the inferred market heat rates</w:t>
      </w:r>
      <w:r w:rsidR="00580D09" w:rsidRPr="37D802BE">
        <w:t>.</w:t>
      </w:r>
      <w:r w:rsidR="004D1CFA" w:rsidRPr="37D802BE">
        <w:t xml:space="preserve"> </w:t>
      </w:r>
      <w:r w:rsidRPr="37D802BE">
        <w:t xml:space="preserve"> </w:t>
      </w:r>
      <w:r w:rsidR="00E754D2">
        <w:t>A full discussion of the updates for generation energy is listed below.</w:t>
      </w:r>
      <w:r w:rsidRPr="37D802BE">
        <w:t xml:space="preserve">  </w:t>
      </w:r>
    </w:p>
    <w:p w14:paraId="6DEAE29C" w14:textId="665F40EA" w:rsidR="0007763F" w:rsidRPr="00C62D91" w:rsidRDefault="004B417D" w:rsidP="0007763F">
      <w:pPr>
        <w:numPr>
          <w:ilvl w:val="0"/>
          <w:numId w:val="9"/>
        </w:numPr>
      </w:pPr>
      <w:r>
        <w:t>Capital costs</w:t>
      </w:r>
      <w:r w:rsidR="00E754D2">
        <w:t>, financing</w:t>
      </w:r>
      <w:r>
        <w:t xml:space="preserve"> </w:t>
      </w:r>
      <w:r w:rsidR="00E754D2">
        <w:t xml:space="preserve">and performance information </w:t>
      </w:r>
      <w:r>
        <w:t xml:space="preserve">for a CT are taken from the </w:t>
      </w:r>
      <w:r w:rsidR="00E754D2">
        <w:t xml:space="preserve">March 2015 CEC </w:t>
      </w:r>
      <w:r w:rsidR="00E754D2" w:rsidRPr="3095E0BA">
        <w:rPr>
          <w:i/>
          <w:iCs/>
        </w:rPr>
        <w:t>Estimated Cost of New Renewable and Fossil Generation in California</w:t>
      </w:r>
      <w:r w:rsidR="00E754D2">
        <w:t xml:space="preserve"> report</w:t>
      </w:r>
      <w:r w:rsidR="00E754D2">
        <w:rPr>
          <w:rStyle w:val="FootnoteReference"/>
        </w:rPr>
        <w:footnoteReference w:id="3"/>
      </w:r>
      <w:r w:rsidR="00E754D2">
        <w:t xml:space="preserve">.  Cost and performance is based on a merchant advanced turbine plant.  For consistency with the CCGT calculations, the installed cost of the turbine is used as an input, rather than the instant cost, and the adjustments to convert instant costs to installed costs have been removed from the avoided cost </w:t>
      </w:r>
      <w:r w:rsidR="00B43108">
        <w:t>calculator</w:t>
      </w:r>
      <w:r w:rsidR="00E754D2">
        <w:t xml:space="preserve">.  In </w:t>
      </w:r>
      <w:r w:rsidR="00E754D2" w:rsidRPr="00C62D91">
        <w:t>addition, the CT pro-forma calculations previously added in the cost of sales taxes.  As those costs are already captured in the CEC report’s installed costs, that adjustment has also been removed.</w:t>
      </w:r>
      <w:r w:rsidR="0007763F" w:rsidRPr="00C62D91">
        <w:t xml:space="preserve"> </w:t>
      </w:r>
    </w:p>
    <w:p w14:paraId="3D890973" w14:textId="49C96B3D" w:rsidR="00E754D2" w:rsidRPr="00C62D91" w:rsidRDefault="4ECF698C" w:rsidP="008A6BDD">
      <w:pPr>
        <w:numPr>
          <w:ilvl w:val="0"/>
          <w:numId w:val="9"/>
        </w:numPr>
      </w:pPr>
      <w:r w:rsidRPr="008A6BDD">
        <w:t xml:space="preserve">The CT pro-forma model included a </w:t>
      </w:r>
      <w:r w:rsidR="0007763F" w:rsidRPr="008A6BDD">
        <w:t xml:space="preserve">Domestic Manufacturing Tax Credit.  </w:t>
      </w:r>
      <w:r w:rsidRPr="008A6BDD">
        <w:t xml:space="preserve">That had minimal effect and </w:t>
      </w:r>
      <w:r w:rsidR="74EEE699" w:rsidRPr="008A6BDD">
        <w:t>has been removed for consistency with the CCGT pro-forma model.</w:t>
      </w:r>
      <w:r w:rsidRPr="008A6BDD">
        <w:t xml:space="preserve">  </w:t>
      </w:r>
    </w:p>
    <w:p w14:paraId="2FAB8C67" w14:textId="65580A66" w:rsidR="0007763F" w:rsidRPr="00C62D91" w:rsidRDefault="004B417D" w:rsidP="00E754D2">
      <w:pPr>
        <w:numPr>
          <w:ilvl w:val="0"/>
          <w:numId w:val="9"/>
        </w:numPr>
      </w:pPr>
      <w:r w:rsidRPr="00C62D91">
        <w:t>Capital Costs</w:t>
      </w:r>
      <w:r w:rsidR="00E754D2" w:rsidRPr="00C62D91">
        <w:t>, financing and performance data</w:t>
      </w:r>
      <w:r w:rsidRPr="00C62D91">
        <w:t xml:space="preserve"> fo</w:t>
      </w:r>
      <w:r w:rsidR="00E754D2" w:rsidRPr="00C62D91">
        <w:t xml:space="preserve">r a CCGT are also updated using the March 2015 CEC </w:t>
      </w:r>
      <w:r w:rsidR="00E754D2" w:rsidRPr="00C62D91">
        <w:rPr>
          <w:i/>
          <w:iCs/>
        </w:rPr>
        <w:t>Estimated Cost of New Renewable</w:t>
      </w:r>
      <w:r w:rsidR="00E754D2" w:rsidRPr="3095E0BA">
        <w:rPr>
          <w:i/>
          <w:iCs/>
        </w:rPr>
        <w:t xml:space="preserve"> and Fossil Generation in California</w:t>
      </w:r>
      <w:r w:rsidR="00E754D2">
        <w:t xml:space="preserve"> report</w:t>
      </w:r>
      <w:r>
        <w:t xml:space="preserve">.  </w:t>
      </w:r>
      <w:r w:rsidR="0007763F">
        <w:t xml:space="preserve">A </w:t>
      </w:r>
      <w:r w:rsidR="0007763F" w:rsidRPr="00C62D91">
        <w:lastRenderedPageBreak/>
        <w:t>merchant two unit combined cycle unit without duct firing is used.   As with the prior avoided cost update, a</w:t>
      </w:r>
      <w:r w:rsidR="008D6145" w:rsidRPr="00C62D91">
        <w:t xml:space="preserve"> book life of 20 years </w:t>
      </w:r>
      <w:r w:rsidR="0007763F" w:rsidRPr="00C62D91">
        <w:t>is</w:t>
      </w:r>
      <w:r w:rsidR="008D6145" w:rsidRPr="00C62D91">
        <w:t xml:space="preserve"> as</w:t>
      </w:r>
      <w:r w:rsidR="00CE4A28" w:rsidRPr="00C62D91">
        <w:t xml:space="preserve">sumed for both the CT and CCGT.  </w:t>
      </w:r>
    </w:p>
    <w:p w14:paraId="7D93D2AD" w14:textId="5DE5C5CC" w:rsidR="0007763F" w:rsidRPr="00C62D91" w:rsidRDefault="0007763F" w:rsidP="00E754D2">
      <w:pPr>
        <w:numPr>
          <w:ilvl w:val="0"/>
          <w:numId w:val="9"/>
        </w:numPr>
      </w:pPr>
      <w:r w:rsidRPr="00C62D91">
        <w:t xml:space="preserve">The </w:t>
      </w:r>
      <w:r w:rsidR="46B53AD0" w:rsidRPr="00C62D91">
        <w:t>day ahead market price shapes are updated using SNL</w:t>
      </w:r>
      <w:r w:rsidRPr="00C62D91">
        <w:t xml:space="preserve"> </w:t>
      </w:r>
      <w:r w:rsidR="7E3A6006" w:rsidRPr="00C62D91">
        <w:t>day-ahead hourly price data for 2015</w:t>
      </w:r>
      <w:r w:rsidR="5AD56FFE" w:rsidRPr="00C62D91">
        <w:t xml:space="preserve">. </w:t>
      </w:r>
      <w:r w:rsidR="2BCC55FA" w:rsidRPr="00C62D91">
        <w:t xml:space="preserve">The real-time market price shapes are calculated using MRTU 5-min </w:t>
      </w:r>
      <w:r w:rsidR="2478941C" w:rsidRPr="00C62D91">
        <w:t>price data</w:t>
      </w:r>
      <w:r w:rsidR="0E316727" w:rsidRPr="00C62D91">
        <w:t>.</w:t>
      </w:r>
    </w:p>
    <w:p w14:paraId="7DE7C238" w14:textId="42A088BA" w:rsidR="00F214CF" w:rsidRPr="00C62D91" w:rsidRDefault="00F214CF" w:rsidP="00F214CF">
      <w:pPr>
        <w:pStyle w:val="Heading3"/>
      </w:pPr>
      <w:bookmarkStart w:id="17" w:name="_Toc493516862"/>
      <w:r w:rsidRPr="00C62D91">
        <w:t xml:space="preserve">Determination of </w:t>
      </w:r>
      <w:r w:rsidR="00EA4F73" w:rsidRPr="00C62D91">
        <w:t>e</w:t>
      </w:r>
      <w:r w:rsidRPr="00C62D91">
        <w:t xml:space="preserve">nergy </w:t>
      </w:r>
      <w:r w:rsidR="00EA4F73" w:rsidRPr="00C62D91">
        <w:t>m</w:t>
      </w:r>
      <w:r w:rsidRPr="00C62D91">
        <w:t xml:space="preserve">arket </w:t>
      </w:r>
      <w:r w:rsidR="00EA4F73" w:rsidRPr="00C62D91">
        <w:t>v</w:t>
      </w:r>
      <w:r w:rsidRPr="00C62D91">
        <w:t>alues</w:t>
      </w:r>
      <w:bookmarkEnd w:id="17"/>
    </w:p>
    <w:p w14:paraId="3F12E42B" w14:textId="05AADCE1" w:rsidR="00F214CF" w:rsidRDefault="00F214CF" w:rsidP="00F214CF">
      <w:r w:rsidRPr="00C62D91">
        <w:t xml:space="preserve">The updated avoided energy costs are developed using a method </w:t>
      </w:r>
      <w:proofErr w:type="gramStart"/>
      <w:r w:rsidRPr="00C62D91">
        <w:t>similar to</w:t>
      </w:r>
      <w:proofErr w:type="gramEnd"/>
      <w:r w:rsidRPr="00C62D91">
        <w:t xml:space="preserve"> what was used for CSI.   </w:t>
      </w:r>
      <w:r w:rsidR="0007763F" w:rsidRPr="00C62D91">
        <w:t>The</w:t>
      </w:r>
      <w:r w:rsidRPr="00C62D91">
        <w:t xml:space="preserve"> average energy</w:t>
      </w:r>
      <w:r>
        <w:t xml:space="preserve"> cost </w:t>
      </w:r>
      <w:r w:rsidR="0007763F">
        <w:t xml:space="preserve">in the near term </w:t>
      </w:r>
      <w:r>
        <w:t xml:space="preserve">is based on the </w:t>
      </w:r>
      <w:r w:rsidR="001A3909">
        <w:t xml:space="preserve">OTC Global Holdings Forwards on-peak and off-peak </w:t>
      </w:r>
      <w:r>
        <w:t>market price forecast</w:t>
      </w:r>
      <w:r w:rsidR="001A3909">
        <w:t>s for NP-15 and SP-15</w:t>
      </w:r>
      <w:r w:rsidR="006E704E">
        <w:t>, averaged to calculate the system value</w:t>
      </w:r>
      <w:r w:rsidR="001A3909" w:rsidRPr="0B29B844">
        <w:t xml:space="preserve"> </w:t>
      </w:r>
      <w:r w:rsidRPr="008A6BDD">
        <w:t>(available through 20</w:t>
      </w:r>
      <w:r w:rsidR="001A3909" w:rsidRPr="008A6BDD">
        <w:t>23</w:t>
      </w:r>
      <w:r w:rsidRPr="008A6BDD">
        <w:t xml:space="preserve"> for the update in </w:t>
      </w:r>
      <w:r w:rsidR="002B1036" w:rsidRPr="008A6BDD">
        <w:t>2016</w:t>
      </w:r>
      <w:r w:rsidRPr="008A6BDD">
        <w:t>).</w:t>
      </w:r>
      <w:r w:rsidRPr="0B29B844">
        <w:t xml:space="preserve">  </w:t>
      </w:r>
      <w:r w:rsidR="00F26268">
        <w:t>For the period after the available forward market prices</w:t>
      </w:r>
      <w:r>
        <w:t xml:space="preserve">, the method interpolates between the last available </w:t>
      </w:r>
      <w:r w:rsidR="002B1036">
        <w:t xml:space="preserve">futures </w:t>
      </w:r>
      <w:r>
        <w:t xml:space="preserve">market price and the long-run energy market price. The long-run energy market price is used for the resource balance and all subsequent years.  </w:t>
      </w:r>
      <w:r w:rsidR="39449FF6">
        <w:t>Note that if the resource balance year is set to present, the long-run energy market price is used in all years.</w:t>
      </w:r>
    </w:p>
    <w:p w14:paraId="69F6539B" w14:textId="77777777" w:rsidR="0007763F" w:rsidRDefault="00F214CF" w:rsidP="00F214CF">
      <w:r>
        <w:t xml:space="preserve">The annual long-run energy market price is set so that the CCGT’s energy market revenues plus the capacity market payment equal the fixed and variable costs </w:t>
      </w:r>
      <w:r w:rsidR="0007763F">
        <w:t xml:space="preserve">plus carbon costs </w:t>
      </w:r>
      <w:r>
        <w:t xml:space="preserve">of the CCGT (i.e.: the CCGT is made whole).  </w:t>
      </w:r>
    </w:p>
    <w:p w14:paraId="52C808FB" w14:textId="5F2A8FA7" w:rsidR="00F214CF" w:rsidRDefault="00F214CF" w:rsidP="00F214CF">
      <w:r>
        <w:t xml:space="preserve">The long-run energy market price begins with the </w:t>
      </w:r>
      <w:r w:rsidR="302F6643">
        <w:t xml:space="preserve">implied heat rate in the last year that electricity market forwards are available. This implied heat rate is then </w:t>
      </w:r>
      <w:r w:rsidR="25219DA9">
        <w:t>held constant for all subsequent years. The market energy price i</w:t>
      </w:r>
      <w:r w:rsidR="2A0B41D1">
        <w:t xml:space="preserve">s calculated using the corresponding gas and carbon prices in each subsequent year along with variable O&amp;M costs. </w:t>
      </w:r>
      <w:r>
        <w:t>Th</w:t>
      </w:r>
      <w:r w:rsidR="011804CA">
        <w:t>is market energy</w:t>
      </w:r>
      <w:r>
        <w:t xml:space="preserve"> price is then increased or decreased with an energy market calibration factor so that the CCGT is made whole.  The energy market calibration factor is applied to both 1) the real-time market prices used to determine CT energy revenues and the value of capacity, and 2) the day-ahead energy market used to determine CCGT energy revenues.  This creates a feedback effect between the energy and capacity avoided costs.  The feedback effect is illustrated with the following example.</w:t>
      </w:r>
    </w:p>
    <w:p w14:paraId="5F0D6A56" w14:textId="77777777" w:rsidR="00F214CF" w:rsidRPr="00A00333" w:rsidRDefault="00F214CF" w:rsidP="00F214CF">
      <w:pPr>
        <w:ind w:left="720"/>
        <w:rPr>
          <w:i/>
        </w:rPr>
      </w:pPr>
      <w:r w:rsidRPr="25ED4B98">
        <w:rPr>
          <w:i/>
          <w:iCs/>
        </w:rPr>
        <w:lastRenderedPageBreak/>
        <w:t>Assume that the CCGT would collect more revenue through the capacity and energy markets than is needed to cover its costs.  The methodology decreases the calibration factor to decrease the day-ahead energy market prices and market revenues to make the CCGT whole.  To keep the real-time and day-ahead markets in sync, the methodology also would decrease the real-time energy market prices by the calibration factor.  The decrease in real-time energy market prices would result in lower net revenues for a CT, and therefore raise the value of capacity (as higher capacity payment revenue is needed to incent a new CT to build).  When we re-e</w:t>
      </w:r>
      <w:r w:rsidRPr="00C97CE1">
        <w:rPr>
          <w:i/>
          <w:iCs/>
        </w:rPr>
        <w:t>xamine the CCGT, the raised value of capacity results in the CCGT collecting excess revenues, so the calibration factor needs to be decreased more, and the process repeats</w:t>
      </w:r>
      <w:r w:rsidRPr="25ED4B98">
        <w:rPr>
          <w:rStyle w:val="FootnoteReference"/>
          <w:i/>
          <w:iCs/>
        </w:rPr>
        <w:footnoteReference w:id="4"/>
      </w:r>
      <w:r w:rsidRPr="25ED4B98">
        <w:rPr>
          <w:i/>
          <w:iCs/>
        </w:rPr>
        <w:t>.</w:t>
      </w:r>
    </w:p>
    <w:p w14:paraId="20B54753" w14:textId="46213EEF" w:rsidR="00F214CF" w:rsidRDefault="00F214CF" w:rsidP="00F214CF">
      <w:pPr>
        <w:pStyle w:val="Caption"/>
        <w:keepLines w:val="0"/>
      </w:pPr>
      <w:r w:rsidRPr="485CB662">
        <w:lastRenderedPageBreak/>
        <w:t xml:space="preserve">Figure </w:t>
      </w:r>
      <w:fldSimple w:instr=" SEQ Figure \* ARABIC ">
        <w:r w:rsidR="001068CE">
          <w:rPr>
            <w:noProof/>
          </w:rPr>
          <w:t>6</w:t>
        </w:r>
      </w:fldSimple>
      <w:r w:rsidRPr="485CB662">
        <w:t>:  Annual Average Energy Avoided Costs</w:t>
      </w:r>
    </w:p>
    <w:p w14:paraId="657E0C13" w14:textId="4C24BEBA" w:rsidR="00F214CF" w:rsidRDefault="00F214CF" w:rsidP="00F214CF">
      <w:pPr>
        <w:pStyle w:val="Caption"/>
        <w:rPr>
          <w:b w:val="0"/>
        </w:rPr>
      </w:pPr>
      <w:r>
        <w:rPr>
          <w:b w:val="0"/>
          <w:bCs w:val="0"/>
        </w:rPr>
        <w:t xml:space="preserve"> </w:t>
      </w:r>
    </w:p>
    <w:p w14:paraId="1F41A818" w14:textId="61FA5056" w:rsidR="5E49CAB7" w:rsidRDefault="5E49CAB7">
      <w:r>
        <w:rPr>
          <w:noProof/>
        </w:rPr>
        <w:drawing>
          <wp:inline distT="0" distB="0" distL="0" distR="0" wp14:anchorId="2F653684" wp14:editId="7DF8A47F">
            <wp:extent cx="5400675" cy="2705100"/>
            <wp:effectExtent l="0" t="0" r="0" b="0"/>
            <wp:docPr id="799974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00675" cy="2705100"/>
                    </a:xfrm>
                    <a:prstGeom prst="rect">
                      <a:avLst/>
                    </a:prstGeom>
                  </pic:spPr>
                </pic:pic>
              </a:graphicData>
            </a:graphic>
          </wp:inline>
        </w:drawing>
      </w:r>
    </w:p>
    <w:p w14:paraId="2FA21556" w14:textId="77777777" w:rsidR="00CC5EF2" w:rsidRDefault="00CC5EF2" w:rsidP="00F214CF">
      <w:pPr>
        <w:pStyle w:val="Heading3"/>
      </w:pPr>
    </w:p>
    <w:p w14:paraId="78195550" w14:textId="77777777" w:rsidR="00F214CF" w:rsidRDefault="00F214CF" w:rsidP="0083579C">
      <w:pPr>
        <w:pStyle w:val="Heading3"/>
      </w:pPr>
      <w:bookmarkStart w:id="18" w:name="_Toc493516863"/>
      <w:r>
        <w:t>Hourly Shaping of Energy Costs</w:t>
      </w:r>
      <w:bookmarkEnd w:id="18"/>
    </w:p>
    <w:p w14:paraId="7EEACC6E" w14:textId="4EF6612E" w:rsidR="00F214CF" w:rsidRDefault="005927B2" w:rsidP="00F214CF">
      <w:r>
        <w:t>The</w:t>
      </w:r>
      <w:r w:rsidR="00F214CF">
        <w:t xml:space="preserve"> annual energy avoided costs are converted to hourly values by multiplying the annual value by 8760 hourly market shapes.  </w:t>
      </w:r>
      <w:r>
        <w:t xml:space="preserve">The </w:t>
      </w:r>
      <w:r w:rsidR="00F214CF">
        <w:t xml:space="preserve">hourly shape is derived from day-ahead LMPs at load-aggregation points in northern and southern California obtained from the </w:t>
      </w:r>
      <w:r w:rsidR="44FFA002">
        <w:t xml:space="preserve">SNL's day-ahead </w:t>
      </w:r>
      <w:r w:rsidR="3E1120AD">
        <w:t>hourly pricing data for 2</w:t>
      </w:r>
      <w:r>
        <w:t>015</w:t>
      </w:r>
      <w:r w:rsidR="00F214CF">
        <w:t xml:space="preserve">. </w:t>
      </w:r>
      <w:proofErr w:type="gramStart"/>
      <w:r w:rsidR="00F214CF">
        <w:t>In order to</w:t>
      </w:r>
      <w:proofErr w:type="gramEnd"/>
      <w:r w:rsidR="00F214CF">
        <w:t xml:space="preserve"> account for the effects of historical volatility in the spot market for natural gas, the hourly market prices are adjusted by the average daily gas price in California</w:t>
      </w:r>
      <w:r w:rsidR="7B87B3F9">
        <w:t>, the cost of carbon, and variable O&amp;M</w:t>
      </w:r>
      <w:r w:rsidR="00F214CF" w:rsidRPr="06E2600E">
        <w:t xml:space="preserve">. </w:t>
      </w:r>
      <w:r w:rsidR="00F214CF" w:rsidRPr="008A6BDD">
        <w:t xml:space="preserve">The resulting hourly market heat rate curve is integrated into the avoided cost calculator, where, in combination with a monthly natural gas </w:t>
      </w:r>
      <w:r w:rsidR="00F214CF" w:rsidRPr="008A6BDD">
        <w:lastRenderedPageBreak/>
        <w:t>price forecast,</w:t>
      </w:r>
      <w:r w:rsidR="7B87B3F9" w:rsidRPr="008A6BDD">
        <w:t xml:space="preserve"> fore</w:t>
      </w:r>
      <w:r w:rsidR="10D2FEA0" w:rsidRPr="008A6BDD">
        <w:t>casted carbon prices, and variable O&amp;M</w:t>
      </w:r>
      <w:r w:rsidR="7B87B3F9" w:rsidRPr="008A6BDD">
        <w:t>,</w:t>
      </w:r>
      <w:r w:rsidR="00F214CF" w:rsidRPr="008A6BDD">
        <w:t xml:space="preserve"> it yields an hourly shape for wholesale market energy prices in California.</w:t>
      </w:r>
    </w:p>
    <w:p w14:paraId="10B1873C" w14:textId="56512787" w:rsidR="00F214CF" w:rsidRDefault="00F214CF" w:rsidP="00F214CF">
      <w:r>
        <w:t xml:space="preserve">Total energy avoided costs are shown </w:t>
      </w:r>
      <w:r w:rsidR="008A562A">
        <w:t xml:space="preserve">in </w:t>
      </w:r>
      <w:r w:rsidR="008A562A">
        <w:fldChar w:fldCharType="begin"/>
      </w:r>
      <w:r w:rsidR="008A562A">
        <w:instrText xml:space="preserve"> REF _Ref315352285 \h </w:instrText>
      </w:r>
      <w:r w:rsidR="008A562A">
        <w:fldChar w:fldCharType="separate"/>
      </w:r>
      <w:r w:rsidR="00A05C18" w:rsidRPr="000C1C16">
        <w:t xml:space="preserve">Figure </w:t>
      </w:r>
      <w:r w:rsidR="00A05C18">
        <w:rPr>
          <w:noProof/>
        </w:rPr>
        <w:t>7</w:t>
      </w:r>
      <w:r w:rsidR="008A562A">
        <w:fldChar w:fldCharType="end"/>
      </w:r>
      <w:r w:rsidR="008A562A" w:rsidRPr="71D322B1">
        <w:t xml:space="preserve">. </w:t>
      </w:r>
      <w:r>
        <w:t>The avoided costs are shown in descending order</w:t>
      </w:r>
      <w:r w:rsidR="71D322B1">
        <w:t xml:space="preserve"> for all 8760 hours of the year</w:t>
      </w:r>
      <w:r>
        <w:t xml:space="preserve">.  </w:t>
      </w:r>
    </w:p>
    <w:p w14:paraId="059DB23C" w14:textId="71596019" w:rsidR="00F214CF" w:rsidRPr="000C1C16" w:rsidRDefault="00F214CF" w:rsidP="00F214CF">
      <w:pPr>
        <w:pStyle w:val="Caption"/>
      </w:pPr>
      <w:bookmarkStart w:id="19" w:name="_Ref315352285"/>
      <w:r w:rsidRPr="71D322B1">
        <w:t xml:space="preserve">Figure </w:t>
      </w:r>
      <w:fldSimple w:instr=" SEQ Figure \* ARABIC ">
        <w:r w:rsidR="001068CE">
          <w:rPr>
            <w:noProof/>
          </w:rPr>
          <w:t>7</w:t>
        </w:r>
      </w:fldSimple>
      <w:bookmarkEnd w:id="19"/>
      <w:r w:rsidRPr="71D322B1">
        <w:t xml:space="preserve">:  Hourly </w:t>
      </w:r>
      <w:r w:rsidR="71D322B1" w:rsidRPr="71D322B1">
        <w:t>Energy</w:t>
      </w:r>
      <w:r w:rsidRPr="71D322B1">
        <w:t xml:space="preserve"> Avoided Costs for 2017</w:t>
      </w:r>
    </w:p>
    <w:p w14:paraId="117FCE20" w14:textId="167C3B80" w:rsidR="06E2600E" w:rsidRDefault="06E2600E">
      <w:r>
        <w:rPr>
          <w:noProof/>
        </w:rPr>
        <w:drawing>
          <wp:inline distT="0" distB="0" distL="0" distR="0" wp14:anchorId="289BBC68" wp14:editId="7499994B">
            <wp:extent cx="5943600" cy="3457575"/>
            <wp:effectExtent l="0" t="0" r="0" b="0"/>
            <wp:docPr id="1006009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69189DCB" w14:textId="0222339C" w:rsidR="00F139BD" w:rsidRDefault="00CC5EF2" w:rsidP="008A6BDD">
      <w:pPr>
        <w:pStyle w:val="Heading2"/>
      </w:pPr>
      <w:bookmarkStart w:id="20" w:name="_Toc493516864"/>
      <w:r>
        <w:t>Generation Capacity</w:t>
      </w:r>
      <w:bookmarkEnd w:id="20"/>
      <w:r>
        <w:t xml:space="preserve"> </w:t>
      </w:r>
    </w:p>
    <w:p w14:paraId="7522A3D6" w14:textId="069EAECE" w:rsidR="000B0B1C" w:rsidRDefault="000B0B1C" w:rsidP="008A6BDD">
      <w:r>
        <w:t>The long-run generation capacity cost is the levelized capital cost of a new simple cycle CT unit less the margin that the</w:t>
      </w:r>
      <w:r w:rsidRPr="25ED4B98">
        <w:t xml:space="preserve"> </w:t>
      </w:r>
      <w:r>
        <w:t>CT could earn from the energy and ancillary service markets.  The calculation has been updated to include carbon costs in both the bid prices for the CT and the market prices for energy.  Minor adjustments have also been made to the calculation of the CT levelized cost of capacity</w:t>
      </w:r>
      <w:r w:rsidRPr="25ED4B98">
        <w:t xml:space="preserve"> </w:t>
      </w:r>
      <w:r>
        <w:t>to be consistent with the method used for the CCGT calculations.</w:t>
      </w:r>
    </w:p>
    <w:p w14:paraId="10A4DB32" w14:textId="1CC529D3" w:rsidR="000B0B1C" w:rsidRPr="00813981" w:rsidRDefault="00A94233">
      <w:r>
        <w:t>Previously</w:t>
      </w:r>
      <w:r w:rsidR="000B0B1C">
        <w:t xml:space="preserve">, the generation capacity cost has transitioned from a near-term capacity cost based on Resource Adequacy costs, to the long-run capacity </w:t>
      </w:r>
      <w:r>
        <w:t>cost based on the Resource Balan</w:t>
      </w:r>
      <w:r w:rsidR="000B0B1C">
        <w:t xml:space="preserve">ce </w:t>
      </w:r>
      <w:r>
        <w:t xml:space="preserve">Year.  </w:t>
      </w:r>
      <w:r w:rsidR="3E96C57C">
        <w:lastRenderedPageBreak/>
        <w:t>The May 3, 2016 P</w:t>
      </w:r>
      <w:r>
        <w:t>roposed</w:t>
      </w:r>
      <w:r w:rsidRPr="6BF81976">
        <w:t xml:space="preserve"> </w:t>
      </w:r>
      <w:r w:rsidR="3E96C57C">
        <w:t>D</w:t>
      </w:r>
      <w:r>
        <w:t xml:space="preserve">ecision </w:t>
      </w:r>
      <w:r w:rsidR="3E96C57C">
        <w:t xml:space="preserve">of Commissioner Florio in </w:t>
      </w:r>
      <w:r w:rsidR="39C1F298">
        <w:t>R.14-10-003</w:t>
      </w:r>
      <w:r>
        <w:t xml:space="preserve"> has essentially set the Resource Balance Year to zero, which would result in the use of the long-run capacity cost for all years.  That is the approach taken in the results presented herein.  </w:t>
      </w:r>
      <w:r w:rsidR="000561E2">
        <w:t xml:space="preserve">While not used for the avoided cost calculations, a </w:t>
      </w:r>
      <w:r>
        <w:t xml:space="preserve">resource balance year consistent with past practices </w:t>
      </w:r>
      <w:r w:rsidR="000561E2">
        <w:t xml:space="preserve">is shown </w:t>
      </w:r>
      <w:r>
        <w:t>below</w:t>
      </w:r>
      <w:r w:rsidR="000561E2">
        <w:t xml:space="preserve"> for informational purposes</w:t>
      </w:r>
      <w:r>
        <w:t>.</w:t>
      </w:r>
    </w:p>
    <w:p w14:paraId="706A7266" w14:textId="77777777" w:rsidR="00563271" w:rsidRDefault="00CC5EF2" w:rsidP="00563271">
      <w:pPr>
        <w:pStyle w:val="Heading3"/>
      </w:pPr>
      <w:bookmarkStart w:id="21" w:name="_Toc493516865"/>
      <w:r w:rsidRPr="078510A7">
        <w:t>Generation resource balance y</w:t>
      </w:r>
      <w:r w:rsidR="00563271" w:rsidRPr="078510A7">
        <w:t>ear</w:t>
      </w:r>
      <w:bookmarkEnd w:id="21"/>
    </w:p>
    <w:p w14:paraId="0BC5B575" w14:textId="6C6624BB" w:rsidR="00563271" w:rsidRDefault="005127ED" w:rsidP="00563271">
      <w:r w:rsidRPr="078510A7">
        <w:t xml:space="preserve">E3 has </w:t>
      </w:r>
      <w:r w:rsidR="7FCEE768" w:rsidRPr="078510A7">
        <w:t>calculated a</w:t>
      </w:r>
      <w:r w:rsidRPr="078510A7">
        <w:t xml:space="preserve"> resource balance year </w:t>
      </w:r>
      <w:r w:rsidR="078510A7" w:rsidRPr="078510A7">
        <w:t xml:space="preserve">using the </w:t>
      </w:r>
      <w:r w:rsidR="2C8A5904" w:rsidRPr="078510A7">
        <w:t>2015 IEPR mid load forecast and the latest</w:t>
      </w:r>
      <w:r w:rsidR="6A6D1F45" w:rsidRPr="078510A7">
        <w:t xml:space="preserve"> available resources forecast from the RPS Calculator version 6.2. </w:t>
      </w:r>
      <w:r w:rsidR="7DF55D84" w:rsidRPr="078510A7">
        <w:t xml:space="preserve">In keeping with </w:t>
      </w:r>
      <w:r w:rsidR="23858FDF" w:rsidRPr="078510A7">
        <w:t xml:space="preserve">past precedent, incremental energy efficiency </w:t>
      </w:r>
      <w:r w:rsidR="31E2BFD7" w:rsidRPr="078510A7">
        <w:t>and uncommitted demand response</w:t>
      </w:r>
      <w:r w:rsidR="31E2BFD7" w:rsidRPr="25ED4B98">
        <w:t xml:space="preserve"> </w:t>
      </w:r>
      <w:r w:rsidR="649A0295" w:rsidRPr="649A0295">
        <w:t>are</w:t>
      </w:r>
      <w:r w:rsidR="23858FDF" w:rsidRPr="25ED4B98">
        <w:t xml:space="preserve"> </w:t>
      </w:r>
      <w:r w:rsidR="23858FDF" w:rsidRPr="078510A7">
        <w:t xml:space="preserve">not included in the </w:t>
      </w:r>
      <w:r w:rsidR="56C6C07B" w:rsidRPr="078510A7">
        <w:t>cal</w:t>
      </w:r>
      <w:r w:rsidR="4BF6FE64" w:rsidRPr="078510A7">
        <w:t>culation of the resource balance yea</w:t>
      </w:r>
      <w:r w:rsidR="4C007F81" w:rsidRPr="078510A7">
        <w:t>r</w:t>
      </w:r>
      <w:r w:rsidR="4C007F81" w:rsidRPr="25ED4B98">
        <w:t xml:space="preserve"> </w:t>
      </w:r>
      <w:r w:rsidR="4C007F81" w:rsidRPr="078510A7">
        <w:t>since outputs of the</w:t>
      </w:r>
      <w:r w:rsidR="04672EBF" w:rsidRPr="078510A7">
        <w:t xml:space="preserve"> avoided cost calculator</w:t>
      </w:r>
      <w:r w:rsidR="4C007F81" w:rsidRPr="078510A7">
        <w:t xml:space="preserve"> are</w:t>
      </w:r>
      <w:r w:rsidR="4BF6FE64" w:rsidRPr="25ED4B98">
        <w:t xml:space="preserve"> </w:t>
      </w:r>
      <w:r w:rsidR="6D869F7C" w:rsidRPr="4C007F81">
        <w:t>in turn used to evaluate the cost-effectiveness of these resources.</w:t>
      </w:r>
      <w:r w:rsidR="00563271" w:rsidRPr="25ED4B98">
        <w:t xml:space="preserve">  </w:t>
      </w:r>
      <w:r w:rsidR="37262C32" w:rsidRPr="078510A7">
        <w:t>A 13,396</w:t>
      </w:r>
      <w:r w:rsidR="00563271" w:rsidRPr="078510A7">
        <w:t xml:space="preserve"> MW import assumption i</w:t>
      </w:r>
      <w:r w:rsidR="57E288C2" w:rsidRPr="078510A7">
        <w:t>s also used for consistency with the RPS Calculator.</w:t>
      </w:r>
      <w:r w:rsidR="04672EBF" w:rsidRPr="25ED4B98">
        <w:t xml:space="preserve"> </w:t>
      </w:r>
      <w:r w:rsidR="7E90EAE0" w:rsidRPr="078510A7">
        <w:t>In the chart below, 'load' can be interpre</w:t>
      </w:r>
      <w:r w:rsidR="5EC4562F" w:rsidRPr="078510A7">
        <w:t xml:space="preserve">ted as peak load plus planning reserve margin requirements. The </w:t>
      </w:r>
      <w:r w:rsidR="764C2991" w:rsidRPr="25ED4B98">
        <w:t>'</w:t>
      </w:r>
      <w:r w:rsidR="5EC4562F" w:rsidRPr="078510A7">
        <w:t>resources</w:t>
      </w:r>
      <w:r w:rsidR="764C2991" w:rsidRPr="25ED4B98">
        <w:t>'</w:t>
      </w:r>
      <w:r w:rsidR="5EC4562F" w:rsidRPr="25ED4B98">
        <w:t xml:space="preserve"> </w:t>
      </w:r>
      <w:r w:rsidR="764C2991" w:rsidRPr="078510A7">
        <w:t>are</w:t>
      </w:r>
      <w:r w:rsidR="5EC4562F" w:rsidRPr="25ED4B98">
        <w:t xml:space="preserve"> </w:t>
      </w:r>
      <w:r w:rsidR="5EC4562F" w:rsidRPr="078510A7">
        <w:t>calculated as the s</w:t>
      </w:r>
      <w:r w:rsidR="764C2991" w:rsidRPr="078510A7">
        <w:t>um of the ELCC of all available</w:t>
      </w:r>
      <w:r w:rsidR="2E316FEF" w:rsidRPr="078510A7">
        <w:t xml:space="preserve"> resources in each year, plus imports, minus demand response.</w:t>
      </w:r>
    </w:p>
    <w:p w14:paraId="3ACEF38A" w14:textId="3AC85EEE" w:rsidR="00563271" w:rsidRPr="004B7AD6" w:rsidRDefault="00563271" w:rsidP="00563271">
      <w:pPr>
        <w:pStyle w:val="Caption"/>
      </w:pPr>
      <w:r w:rsidRPr="078510A7">
        <w:t xml:space="preserve">Figure </w:t>
      </w:r>
      <w:fldSimple w:instr=" SEQ Figure \* ARABIC ">
        <w:r w:rsidR="001068CE">
          <w:rPr>
            <w:noProof/>
          </w:rPr>
          <w:t>8</w:t>
        </w:r>
      </w:fldSimple>
      <w:r w:rsidRPr="078510A7">
        <w:t>. Evaluation of resource balance year</w:t>
      </w:r>
    </w:p>
    <w:p w14:paraId="066360FD" w14:textId="7015E254" w:rsidR="45640DAA" w:rsidRDefault="45640DAA">
      <w:r>
        <w:rPr>
          <w:noProof/>
        </w:rPr>
        <w:drawing>
          <wp:inline distT="0" distB="0" distL="0" distR="0" wp14:anchorId="26D4CA0E" wp14:editId="331B46E8">
            <wp:extent cx="5000625" cy="2800350"/>
            <wp:effectExtent l="0" t="0" r="0" b="0"/>
            <wp:docPr id="12279084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000625" cy="2800350"/>
                    </a:xfrm>
                    <a:prstGeom prst="rect">
                      <a:avLst/>
                    </a:prstGeom>
                  </pic:spPr>
                </pic:pic>
              </a:graphicData>
            </a:graphic>
          </wp:inline>
        </w:drawing>
      </w:r>
    </w:p>
    <w:p w14:paraId="32BB5EBA" w14:textId="77777777" w:rsidR="00563271" w:rsidRDefault="00CC5EF2" w:rsidP="00563271">
      <w:pPr>
        <w:pStyle w:val="Heading3"/>
      </w:pPr>
      <w:bookmarkStart w:id="22" w:name="_Toc493516866"/>
      <w:r>
        <w:lastRenderedPageBreak/>
        <w:t>CT d</w:t>
      </w:r>
      <w:r w:rsidR="00563271">
        <w:t>ispatch</w:t>
      </w:r>
      <w:bookmarkEnd w:id="22"/>
    </w:p>
    <w:p w14:paraId="592DCAF4" w14:textId="35A6CAA7" w:rsidR="0074491A" w:rsidRDefault="004F7BD4" w:rsidP="0074491A">
      <w:r>
        <w:t>To determine the long-run value of capacity, the</w:t>
      </w:r>
      <w:r w:rsidR="00AE63A1" w:rsidRPr="00233ED0">
        <w:t xml:space="preserve"> avoided cost model performs an</w:t>
      </w:r>
      <w:r w:rsidR="00AE63A1">
        <w:t xml:space="preserve"> hourly dispatch of a </w:t>
      </w:r>
      <w:r w:rsidR="00B01953">
        <w:t xml:space="preserve">new </w:t>
      </w:r>
      <w:r w:rsidR="00AE63A1">
        <w:t xml:space="preserve">CT to determine energy market net revenues. </w:t>
      </w:r>
      <w:r w:rsidR="00E606BB" w:rsidDel="008E4349">
        <w:t xml:space="preserve">The CT’s net </w:t>
      </w:r>
      <w:r w:rsidR="00E606BB">
        <w:t>margin is</w:t>
      </w:r>
      <w:r w:rsidR="00E606BB" w:rsidDel="008E4349">
        <w:t xml:space="preserve"> calculated assuming that the unit dispatches at full capacity in each hour that the real-time price exceeds its operating cost (the sum of fuel costs</w:t>
      </w:r>
      <w:r w:rsidR="002522D1" w:rsidRPr="640A206A">
        <w:t xml:space="preserve">, </w:t>
      </w:r>
      <w:r w:rsidR="00E606BB" w:rsidDel="008E4349">
        <w:t>variable O&amp;M</w:t>
      </w:r>
      <w:r w:rsidR="002522D1">
        <w:t>, and carbon costs</w:t>
      </w:r>
      <w:r w:rsidR="00E606BB" w:rsidRPr="640A206A" w:rsidDel="008E4349">
        <w:t>)</w:t>
      </w:r>
      <w:r w:rsidR="00E606BB">
        <w:t>.  In each hour that it operates, the unit earns the difference between the market price and its operating costs</w:t>
      </w:r>
      <w:r w:rsidR="000637DE">
        <w:t>, plus an additional 2.74% of the market price for ancillary services</w:t>
      </w:r>
      <w:r w:rsidR="000637DE">
        <w:rPr>
          <w:rStyle w:val="FootnoteReference"/>
        </w:rPr>
        <w:footnoteReference w:id="5"/>
      </w:r>
      <w:r w:rsidR="000637DE" w:rsidRPr="640A206A">
        <w:t xml:space="preserve">. </w:t>
      </w:r>
      <w:r w:rsidR="00E606BB" w:rsidDel="008E4349">
        <w:t xml:space="preserve"> In each hour where the market prices are below the operating cost, the unit is assumed to shut down.</w:t>
      </w:r>
      <w:r w:rsidR="00E606BB">
        <w:t xml:space="preserve">  The dispatch uses the real-time market shape (not the day-ahead market shape), and adjusts for </w:t>
      </w:r>
      <w:r w:rsidR="00CC3913">
        <w:t xml:space="preserve">changes in natural gas prices, </w:t>
      </w:r>
      <w:r w:rsidR="00E606BB">
        <w:t>temperature performance degradation using average monthly 9am – 10pm temperatures</w:t>
      </w:r>
      <w:r w:rsidR="00563271">
        <w:t xml:space="preserve"> (see </w:t>
      </w:r>
      <w:r w:rsidR="00CC3913">
        <w:t xml:space="preserve">the </w:t>
      </w:r>
      <w:r w:rsidR="00563271">
        <w:t>section</w:t>
      </w:r>
      <w:r w:rsidR="00CC3913" w:rsidRPr="640A206A">
        <w:t xml:space="preserve"> </w:t>
      </w:r>
      <w:r w:rsidR="00CC3913" w:rsidRPr="002D70BF">
        <w:fldChar w:fldCharType="begin"/>
      </w:r>
      <w:r w:rsidR="00CC3913" w:rsidRPr="008A6BDD">
        <w:rPr>
          <w:i/>
        </w:rPr>
        <w:instrText xml:space="preserve"> REF _Ref451875436 \h </w:instrText>
      </w:r>
      <w:r w:rsidR="00CC3913">
        <w:rPr>
          <w:i/>
        </w:rPr>
        <w:instrText xml:space="preserve"> \* MERGEFORMAT </w:instrText>
      </w:r>
      <w:r w:rsidR="00CC3913" w:rsidRPr="002D70BF">
        <w:rPr>
          <w:i/>
        </w:rPr>
        <w:fldChar w:fldCharType="separate"/>
      </w:r>
      <w:r w:rsidR="00A05C18" w:rsidRPr="008A6BDD">
        <w:rPr>
          <w:i/>
          <w:iCs/>
        </w:rPr>
        <w:t>Temperature effect on unit performance</w:t>
      </w:r>
      <w:r w:rsidR="00CC3913" w:rsidRPr="002D70BF">
        <w:fldChar w:fldCharType="end"/>
      </w:r>
      <w:r w:rsidR="00CC3913">
        <w:t xml:space="preserve"> on page </w:t>
      </w:r>
      <w:r w:rsidR="00CC3913">
        <w:fldChar w:fldCharType="begin"/>
      </w:r>
      <w:r w:rsidR="00CC3913">
        <w:instrText xml:space="preserve"> PAGEREF _Ref451875439 \h </w:instrText>
      </w:r>
      <w:r w:rsidR="00CC3913">
        <w:fldChar w:fldCharType="separate"/>
      </w:r>
      <w:r w:rsidR="00A05C18">
        <w:rPr>
          <w:noProof/>
        </w:rPr>
        <w:t>21</w:t>
      </w:r>
      <w:r w:rsidR="00CC3913">
        <w:fldChar w:fldCharType="end"/>
      </w:r>
      <w:r w:rsidR="00CC3913">
        <w:t>), and a market calibration factor</w:t>
      </w:r>
      <w:r w:rsidR="00CC3913">
        <w:rPr>
          <w:rStyle w:val="FootnoteReference"/>
        </w:rPr>
        <w:footnoteReference w:id="6"/>
      </w:r>
      <w:r w:rsidR="00CC3913" w:rsidRPr="640A206A">
        <w:t xml:space="preserve">. </w:t>
      </w:r>
    </w:p>
    <w:p w14:paraId="4CCFD41F" w14:textId="2F7C7DC3" w:rsidR="0074491A" w:rsidRDefault="00563271" w:rsidP="0074491A">
      <w:r>
        <w:t xml:space="preserve">The </w:t>
      </w:r>
      <w:r w:rsidR="0074491A">
        <w:t xml:space="preserve">market revenues earned in the energy and AS markets are subtracted from the fixed and variable costs </w:t>
      </w:r>
      <w:r w:rsidR="002522D1">
        <w:t xml:space="preserve">(including carbon costs) </w:t>
      </w:r>
      <w:r w:rsidR="0074491A">
        <w:t xml:space="preserve">of operating a CT to determine the residual capacity </w:t>
      </w:r>
      <w:r w:rsidR="00CC3913">
        <w:t>cost</w:t>
      </w:r>
      <w:r w:rsidR="0074491A">
        <w:t xml:space="preserve">. </w:t>
      </w:r>
      <w:r w:rsidR="00CC3913">
        <w:t xml:space="preserve"> The residual capacity cost is the additional revenue that a new CT would require </w:t>
      </w:r>
      <w:proofErr w:type="gramStart"/>
      <w:r w:rsidR="00CC3913">
        <w:t>in order to</w:t>
      </w:r>
      <w:proofErr w:type="gramEnd"/>
      <w:r w:rsidR="00CC3913">
        <w:t xml:space="preserve"> fully cover its fixed costs and return on investment, and is used as a proxy for the long-term avoided cost of generation capacity. </w:t>
      </w:r>
      <w:r w:rsidR="0074491A">
        <w:t xml:space="preserve"> The</w:t>
      </w:r>
      <w:r w:rsidR="00CC3913">
        <w:t xml:space="preserve"> generation</w:t>
      </w:r>
      <w:r w:rsidR="0074491A">
        <w:t xml:space="preserve"> capacity </w:t>
      </w:r>
      <w:r w:rsidR="00CC3913">
        <w:t xml:space="preserve">cost </w:t>
      </w:r>
      <w:r w:rsidR="0074491A">
        <w:t xml:space="preserve">calculations are performed using both Northern California and Southern California market prices and weather information.  </w:t>
      </w:r>
      <w:r w:rsidR="0074491A">
        <w:lastRenderedPageBreak/>
        <w:t>The cost of a new CT, however, is the same for both Northern and Southern California.  Consistent with the DR methodology</w:t>
      </w:r>
      <w:r w:rsidR="002522D1">
        <w:t xml:space="preserve"> implemented in the prior avoided cost model</w:t>
      </w:r>
      <w:r w:rsidR="0074491A">
        <w:t xml:space="preserve">, the final </w:t>
      </w:r>
      <w:r w:rsidR="00CC3913">
        <w:t xml:space="preserve">generation </w:t>
      </w:r>
      <w:r w:rsidR="0074491A">
        <w:t xml:space="preserve">capacity </w:t>
      </w:r>
      <w:r w:rsidR="00CC3913">
        <w:t xml:space="preserve">cost </w:t>
      </w:r>
      <w:r w:rsidR="0074491A">
        <w:t xml:space="preserve">for each year is the average of the results for Northern and Southern California (50% Northern and 50% Southern). </w:t>
      </w:r>
    </w:p>
    <w:p w14:paraId="10430848" w14:textId="294FFD4F" w:rsidR="002522D1" w:rsidRDefault="001C372A" w:rsidP="0074491A">
      <w:r>
        <w:t>In addition to data updates, the</w:t>
      </w:r>
      <w:r w:rsidR="002522D1">
        <w:t xml:space="preserve"> CT dispatch incorporates two methodology changes</w:t>
      </w:r>
    </w:p>
    <w:p w14:paraId="2D09EBF2" w14:textId="48E0D731" w:rsidR="002522D1" w:rsidRDefault="002522D1" w:rsidP="008A6BDD">
      <w:pPr>
        <w:pStyle w:val="ListParagraph"/>
        <w:numPr>
          <w:ilvl w:val="0"/>
          <w:numId w:val="10"/>
        </w:numPr>
      </w:pPr>
      <w:r>
        <w:t xml:space="preserve">Carbon </w:t>
      </w:r>
      <w:r w:rsidR="102CAC07">
        <w:t>and variable O&amp;</w:t>
      </w:r>
      <w:r w:rsidR="2FCE3C6F">
        <w:t>M costs</w:t>
      </w:r>
      <w:r w:rsidR="102CAC07" w:rsidRPr="2FCE3C6F">
        <w:t xml:space="preserve"> </w:t>
      </w:r>
      <w:r>
        <w:t>are included in the CT dispatch bids and market revenue calculations because such carbon costs are recovered through the energy market.</w:t>
      </w:r>
    </w:p>
    <w:p w14:paraId="242CA169" w14:textId="04593B87" w:rsidR="2693F1C5" w:rsidRDefault="002522D1" w:rsidP="008A6BDD">
      <w:pPr>
        <w:pStyle w:val="ListParagraph"/>
        <w:numPr>
          <w:ilvl w:val="0"/>
          <w:numId w:val="10"/>
        </w:numPr>
        <w:spacing w:before="0"/>
      </w:pPr>
      <w:r>
        <w:t>The hourly real-time market shape i</w:t>
      </w:r>
      <w:r w:rsidR="42C633DC">
        <w:t>s base</w:t>
      </w:r>
      <w:r w:rsidR="00037DDF">
        <w:t>d</w:t>
      </w:r>
      <w:r w:rsidR="42C633DC">
        <w:t xml:space="preserve"> on</w:t>
      </w:r>
      <w:r>
        <w:t xml:space="preserve"> the 2015 shape a</w:t>
      </w:r>
      <w:r w:rsidR="42C633DC">
        <w:t>nd h</w:t>
      </w:r>
      <w:r w:rsidR="2BE6A0B9">
        <w:t>eld constant for all future years</w:t>
      </w:r>
      <w:r w:rsidR="001C372A" w:rsidRPr="25ED4B98">
        <w:t>.</w:t>
      </w:r>
      <w:r w:rsidR="2BE6A0B9" w:rsidRPr="2BE6A0B9">
        <w:t xml:space="preserve"> This shape is not adjusted </w:t>
      </w:r>
      <w:r w:rsidR="2693F1C5" w:rsidRPr="2BE6A0B9">
        <w:t xml:space="preserve">in the same way as </w:t>
      </w:r>
      <w:r w:rsidR="2BE6A0B9" w:rsidRPr="2BE6A0B9">
        <w:t>the</w:t>
      </w:r>
      <w:r w:rsidR="76C5D7BC" w:rsidRPr="76C5D7BC">
        <w:t xml:space="preserve"> day-ahead price shape due to the disconnect </w:t>
      </w:r>
      <w:r w:rsidR="2693F1C5" w:rsidRPr="2693F1C5">
        <w:t xml:space="preserve">between the </w:t>
      </w:r>
      <w:r w:rsidR="2693F1C5">
        <w:t xml:space="preserve">two </w:t>
      </w:r>
      <w:r w:rsidR="0B69799C" w:rsidRPr="0B69799C">
        <w:t>as well as large increase in volatility seen in the real-time price shape.</w:t>
      </w:r>
    </w:p>
    <w:p w14:paraId="666C776A" w14:textId="7A72A20D" w:rsidR="0D366BC7" w:rsidRDefault="0074491A" w:rsidP="008A6BDD">
      <w:pPr>
        <w:pStyle w:val="Caption"/>
      </w:pPr>
      <w:r w:rsidRPr="6D85341E">
        <w:rPr>
          <w:b w:val="0"/>
          <w:bCs w:val="0"/>
        </w:rPr>
        <w:t xml:space="preserve">Figure </w:t>
      </w:r>
      <w:r w:rsidR="00C97CE1">
        <w:rPr>
          <w:b w:val="0"/>
          <w:bCs w:val="0"/>
        </w:rPr>
        <w:fldChar w:fldCharType="begin"/>
      </w:r>
      <w:r w:rsidR="00C97CE1">
        <w:rPr>
          <w:b w:val="0"/>
          <w:bCs w:val="0"/>
        </w:rPr>
        <w:instrText xml:space="preserve"> SEQ Figure \* ARABIC </w:instrText>
      </w:r>
      <w:r w:rsidR="00C97CE1">
        <w:rPr>
          <w:b w:val="0"/>
          <w:bCs w:val="0"/>
        </w:rPr>
        <w:fldChar w:fldCharType="separate"/>
      </w:r>
      <w:r w:rsidR="001068CE">
        <w:rPr>
          <w:b w:val="0"/>
          <w:bCs w:val="0"/>
          <w:noProof/>
        </w:rPr>
        <w:t>9</w:t>
      </w:r>
      <w:r w:rsidR="00C97CE1">
        <w:rPr>
          <w:b w:val="0"/>
          <w:bCs w:val="0"/>
        </w:rPr>
        <w:fldChar w:fldCharType="end"/>
      </w:r>
      <w:r w:rsidRPr="6D85341E">
        <w:rPr>
          <w:b w:val="0"/>
          <w:bCs w:val="0"/>
        </w:rPr>
        <w:t xml:space="preserve">:  Statewide Generation Capacity Value </w:t>
      </w:r>
      <w:r w:rsidR="55D88296" w:rsidRPr="6D85341E">
        <w:rPr>
          <w:b w:val="0"/>
          <w:bCs w:val="0"/>
        </w:rPr>
        <w:t>before</w:t>
      </w:r>
      <w:r w:rsidR="60156D2A" w:rsidRPr="25ED4B98">
        <w:rPr>
          <w:b w:val="0"/>
          <w:bCs w:val="0"/>
        </w:rPr>
        <w:t xml:space="preserve"> </w:t>
      </w:r>
      <w:r w:rsidRPr="6D85341E">
        <w:rPr>
          <w:b w:val="0"/>
          <w:bCs w:val="0"/>
        </w:rPr>
        <w:t xml:space="preserve">Temperature </w:t>
      </w:r>
      <w:r w:rsidR="60156D2A" w:rsidRPr="6D85341E">
        <w:rPr>
          <w:b w:val="0"/>
          <w:bCs w:val="0"/>
        </w:rPr>
        <w:t>and Loss</w:t>
      </w:r>
      <w:r w:rsidR="60156D2A" w:rsidRPr="25ED4B98">
        <w:rPr>
          <w:b w:val="0"/>
          <w:bCs w:val="0"/>
        </w:rPr>
        <w:t xml:space="preserve"> </w:t>
      </w:r>
      <w:r w:rsidRPr="6D85341E">
        <w:rPr>
          <w:b w:val="0"/>
          <w:bCs w:val="0"/>
        </w:rPr>
        <w:t>Adjustments</w:t>
      </w:r>
      <w:r w:rsidR="4A60B311">
        <w:rPr>
          <w:b w:val="0"/>
          <w:bCs w:val="0"/>
          <w:noProof/>
        </w:rPr>
        <w:drawing>
          <wp:inline distT="0" distB="0" distL="0" distR="0" wp14:anchorId="16EBAFE8" wp14:editId="65FC2291">
            <wp:extent cx="5943600" cy="2800350"/>
            <wp:effectExtent l="0" t="0" r="0" b="0"/>
            <wp:docPr id="1226766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6A358BE7" w14:textId="1FA55FC6" w:rsidR="00F214CF" w:rsidRDefault="00F214CF" w:rsidP="00F214CF">
      <w:r>
        <w:t xml:space="preserve">   </w:t>
      </w:r>
    </w:p>
    <w:p w14:paraId="2344FF13" w14:textId="77777777" w:rsidR="0074491A" w:rsidRPr="000145D0" w:rsidRDefault="0074491A" w:rsidP="0074491A">
      <w:pPr>
        <w:pStyle w:val="Heading3"/>
      </w:pPr>
      <w:bookmarkStart w:id="23" w:name="_Ref451875436"/>
      <w:bookmarkStart w:id="24" w:name="_Ref451875439"/>
      <w:bookmarkStart w:id="25" w:name="_Toc493516867"/>
      <w:r w:rsidRPr="000145D0">
        <w:lastRenderedPageBreak/>
        <w:t>Temperature effect on unit performance</w:t>
      </w:r>
      <w:bookmarkEnd w:id="23"/>
      <w:bookmarkEnd w:id="24"/>
      <w:bookmarkEnd w:id="25"/>
    </w:p>
    <w:p w14:paraId="28FA53CC" w14:textId="77777777" w:rsidR="00AE63A1" w:rsidRDefault="0074491A" w:rsidP="000145D0">
      <w:r>
        <w:t>The</w:t>
      </w:r>
      <w:r w:rsidR="00CC5EF2">
        <w:t xml:space="preserve"> </w:t>
      </w:r>
      <w:r w:rsidR="00AE63A1">
        <w:t>capacity value as $ per kW of degraded capacity, rather than $ per kW of nameplate capacity</w:t>
      </w:r>
      <w:r>
        <w:t xml:space="preserve"> to account for the effects of temperature</w:t>
      </w:r>
      <w:r w:rsidR="00AE63A1">
        <w:t xml:space="preserve">.  This re-expression increases the $/kW capacity value by </w:t>
      </w:r>
      <w:r w:rsidR="00B01953">
        <w:t xml:space="preserve">about </w:t>
      </w:r>
      <w:r w:rsidR="000145D0">
        <w:t xml:space="preserve">8%.  The use of the degraded capacity </w:t>
      </w:r>
      <w:r w:rsidR="00397CE6">
        <w:t>was</w:t>
      </w:r>
      <w:r w:rsidR="000145D0">
        <w:t xml:space="preserve"> introduced in the DR proceeding to more precisely model to operation of a combustion turbine at different ambient temperature conditions throughout the year.</w:t>
      </w:r>
      <w:r w:rsidR="00397CE6">
        <w:t xml:space="preserve">  Use of degraded, rather than nameplate, capacity value results an increase in the capacity value because combustion turbines perform at lower efficiencies when the ambient temperature is high.</w:t>
      </w:r>
    </w:p>
    <w:p w14:paraId="266D6F0F" w14:textId="73F9D6A1" w:rsidR="00E606BB" w:rsidRDefault="00E606BB" w:rsidP="00452851">
      <w:r>
        <w:t>The CT’s rated heat rate and nameplate capacity characterize the unit’s performance at ISO conditions,</w:t>
      </w:r>
      <w:r>
        <w:rPr>
          <w:rStyle w:val="FootnoteReference"/>
        </w:rPr>
        <w:footnoteReference w:id="7"/>
      </w:r>
      <w:r>
        <w:t xml:space="preserve"> but the unit’s actual performance deviates substantially from these ratings throughout the year.  In California, deviations from rated performance are due primarily to hourly variations in temperature.  </w:t>
      </w:r>
      <w:r>
        <w:fldChar w:fldCharType="begin"/>
      </w:r>
      <w:r>
        <w:instrText xml:space="preserve"> REF _Ref278704493 \h </w:instrText>
      </w:r>
      <w:r>
        <w:fldChar w:fldCharType="separate"/>
      </w:r>
      <w:r w:rsidR="00A05C18">
        <w:t xml:space="preserve">Figure </w:t>
      </w:r>
      <w:r w:rsidR="00A05C18">
        <w:rPr>
          <w:noProof/>
        </w:rPr>
        <w:t>10</w:t>
      </w:r>
      <w:r>
        <w:fldChar w:fldCharType="end"/>
      </w:r>
      <w:r>
        <w:t xml:space="preserve"> shows the relationship between temperature and performance for a GE LM6000 SPRINT gas turbine, a reasonable proxy for current CT technology.</w:t>
      </w:r>
    </w:p>
    <w:p w14:paraId="4F4A63E5" w14:textId="0226CC77" w:rsidR="00E606BB" w:rsidRDefault="00E606BB" w:rsidP="00087461">
      <w:pPr>
        <w:pStyle w:val="Caption"/>
      </w:pPr>
      <w:bookmarkStart w:id="26" w:name="_Ref278704493"/>
      <w:bookmarkStart w:id="27" w:name="_Ref278704488"/>
      <w:r>
        <w:lastRenderedPageBreak/>
        <w:t xml:space="preserve">Figure </w:t>
      </w:r>
      <w:fldSimple w:instr=" SEQ Figure \* ARABIC ">
        <w:r w:rsidR="001068CE">
          <w:rPr>
            <w:noProof/>
          </w:rPr>
          <w:t>10</w:t>
        </w:r>
      </w:fldSimple>
      <w:bookmarkEnd w:id="26"/>
      <w:r>
        <w:t>. Temperature-performance curve for a GE LM6000 SPRINT combustion turbine.</w:t>
      </w:r>
      <w:bookmarkEnd w:id="27"/>
    </w:p>
    <w:p w14:paraId="73E73309" w14:textId="6C0F2E8E" w:rsidR="00E606BB" w:rsidRDefault="007A19C3" w:rsidP="000145D0">
      <w:pPr>
        <w:pStyle w:val="SeattleBody"/>
      </w:pPr>
      <w:r>
        <w:rPr>
          <w:noProof/>
        </w:rPr>
        <w:drawing>
          <wp:inline distT="0" distB="0" distL="0" distR="0" wp14:anchorId="31802275" wp14:editId="711FCD2D">
            <wp:extent cx="4572000" cy="2771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771775"/>
                    </a:xfrm>
                    <a:prstGeom prst="rect">
                      <a:avLst/>
                    </a:prstGeom>
                    <a:noFill/>
                    <a:ln>
                      <a:noFill/>
                    </a:ln>
                  </pic:spPr>
                </pic:pic>
              </a:graphicData>
            </a:graphic>
          </wp:inline>
        </w:drawing>
      </w:r>
    </w:p>
    <w:p w14:paraId="079DE13A" w14:textId="77777777" w:rsidR="00E606BB" w:rsidRDefault="00E606BB" w:rsidP="000145D0">
      <w:r>
        <w:t>The effect of temperature on performance is incorporated into the calculation of the CT residual; several performance corrections are considered:</w:t>
      </w:r>
    </w:p>
    <w:p w14:paraId="4ED61269" w14:textId="77777777" w:rsidR="00E606BB" w:rsidRDefault="00E606BB" w:rsidP="000145D0">
      <w:pPr>
        <w:numPr>
          <w:ilvl w:val="0"/>
          <w:numId w:val="4"/>
        </w:numPr>
      </w:pPr>
      <w:r>
        <w:t xml:space="preserve">In the calculation of the CT’s dispatch, the heat rate is assumed to vary </w:t>
      </w:r>
      <w:proofErr w:type="gramStart"/>
      <w:r>
        <w:t>on a monthly basis</w:t>
      </w:r>
      <w:proofErr w:type="gramEnd"/>
      <w:r>
        <w:t>.  In each month, E3 calculates an average day-time temperature based on hourly temperature data throughout the state and uses this value to adjust the heat rate—and thereby the operating cost—within that month.</w:t>
      </w:r>
    </w:p>
    <w:p w14:paraId="058D23A9" w14:textId="77777777" w:rsidR="00E606BB" w:rsidRDefault="00E606BB" w:rsidP="000145D0">
      <w:pPr>
        <w:numPr>
          <w:ilvl w:val="0"/>
          <w:numId w:val="4"/>
        </w:numPr>
      </w:pPr>
      <w:r>
        <w:t xml:space="preserve">Plant output is also assumed to vary </w:t>
      </w:r>
      <w:proofErr w:type="gramStart"/>
      <w:r>
        <w:t>on a monthly basis</w:t>
      </w:r>
      <w:proofErr w:type="gramEnd"/>
      <w:r>
        <w:t xml:space="preserve">; the same average day-time temperature is used to determine the correct adjustment.  This adjustment affects the revenue collected by the plant in the real-time market.  For instance, if the plant’s output is 90% of nameplate capacity </w:t>
      </w:r>
      <w:proofErr w:type="gramStart"/>
      <w:r>
        <w:t>in a given</w:t>
      </w:r>
      <w:proofErr w:type="gramEnd"/>
      <w:r>
        <w:t xml:space="preserve"> month, its net revenues will equal 90% of what it would have received had it been able to operate at nameplate capacity.</w:t>
      </w:r>
    </w:p>
    <w:p w14:paraId="129DB1E3" w14:textId="27F1C628" w:rsidR="00E606BB" w:rsidRDefault="00E606BB" w:rsidP="000145D0">
      <w:pPr>
        <w:numPr>
          <w:ilvl w:val="0"/>
          <w:numId w:val="4"/>
        </w:numPr>
      </w:pPr>
      <w:r>
        <w:t>The resulting capacity residual is originally calculated as the value per nameplate kilowatt—however, during the peak periods during which a CT is necessary for resource adequacy, high temperatures will result in a significant capacity derat</w:t>
      </w:r>
      <w:r w:rsidR="005A20A3">
        <w:t>ion</w:t>
      </w:r>
      <w:r>
        <w:t xml:space="preserve">.  Consequently, </w:t>
      </w:r>
      <w:r>
        <w:lastRenderedPageBreak/>
        <w:t xml:space="preserve">the value of capacity is increased by approximately 10% to reflect the plant’s reduced output during the top 250 load hours of the year as shown in </w:t>
      </w:r>
      <w:r>
        <w:fldChar w:fldCharType="begin"/>
      </w:r>
      <w:r>
        <w:instrText xml:space="preserve"> REF _Ref278719804 \h </w:instrText>
      </w:r>
      <w:r>
        <w:fldChar w:fldCharType="separate"/>
      </w:r>
      <w:r w:rsidR="00A05C18">
        <w:t xml:space="preserve">Figure </w:t>
      </w:r>
      <w:r w:rsidR="00A05C18">
        <w:rPr>
          <w:noProof/>
        </w:rPr>
        <w:t>11</w:t>
      </w:r>
      <w:r>
        <w:fldChar w:fldCharType="end"/>
      </w:r>
      <w:r>
        <w:t>.</w:t>
      </w:r>
    </w:p>
    <w:p w14:paraId="46BDFA60" w14:textId="77777777" w:rsidR="00087461" w:rsidRDefault="00087461" w:rsidP="00087461">
      <w:r>
        <w:t xml:space="preserve">The forecast annual generation capacity values are shown below.  </w:t>
      </w:r>
    </w:p>
    <w:p w14:paraId="013B1576" w14:textId="7D128743" w:rsidR="00E606BB" w:rsidRDefault="00E606BB" w:rsidP="009336FE">
      <w:pPr>
        <w:pStyle w:val="Caption"/>
      </w:pPr>
      <w:bookmarkStart w:id="28" w:name="_Ref278719804"/>
      <w:r>
        <w:t xml:space="preserve">Figure </w:t>
      </w:r>
      <w:fldSimple w:instr=" SEQ Figure \* ARABIC ">
        <w:r w:rsidR="001068CE">
          <w:rPr>
            <w:noProof/>
          </w:rPr>
          <w:t>11</w:t>
        </w:r>
      </w:fldSimple>
      <w:bookmarkEnd w:id="28"/>
      <w:r>
        <w:t>. Adjustment of capacity value to account for temperature derat</w:t>
      </w:r>
      <w:r w:rsidR="003503C4">
        <w:t>i</w:t>
      </w:r>
      <w:r w:rsidR="009336FE">
        <w:t xml:space="preserve">ng during periods of peak load </w:t>
      </w:r>
      <w:r w:rsidR="38643851">
        <w:t>(losses still excluded)</w:t>
      </w:r>
    </w:p>
    <w:p w14:paraId="77E4A29F" w14:textId="3D966B83" w:rsidR="0D366BC7" w:rsidRDefault="0D366BC7">
      <w:r>
        <w:rPr>
          <w:noProof/>
        </w:rPr>
        <w:drawing>
          <wp:inline distT="0" distB="0" distL="0" distR="0" wp14:anchorId="6246EAFE" wp14:editId="13E9754A">
            <wp:extent cx="5943600" cy="2800350"/>
            <wp:effectExtent l="0" t="0" r="0" b="0"/>
            <wp:docPr id="65003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395A6FB8" w14:textId="77777777" w:rsidR="00A3513A" w:rsidRPr="000145D0" w:rsidRDefault="00CC5EF2" w:rsidP="00A3513A">
      <w:pPr>
        <w:pStyle w:val="Heading3"/>
      </w:pPr>
      <w:bookmarkStart w:id="29" w:name="_Toc493516868"/>
      <w:r>
        <w:t>Planning reserve margin and l</w:t>
      </w:r>
      <w:r w:rsidR="00A3513A">
        <w:t>osses</w:t>
      </w:r>
      <w:bookmarkEnd w:id="29"/>
    </w:p>
    <w:p w14:paraId="5D7CBAE3" w14:textId="77777777" w:rsidR="003503C4" w:rsidRDefault="00A3513A" w:rsidP="00087461">
      <w:r>
        <w:t xml:space="preserve">The capacity value is increased to account for both the Planning Reserve Margin (PRM) and losses.  </w:t>
      </w:r>
      <w:r w:rsidR="005D270E">
        <w:t>Resource Adequacy rules set capacity procurement targets for Load Serving Entities based on 1.15% of their forecasted load.</w:t>
      </w:r>
      <w:r w:rsidR="005D270E">
        <w:rPr>
          <w:rStyle w:val="FootnoteReference"/>
        </w:rPr>
        <w:footnoteReference w:id="8"/>
      </w:r>
      <w:r w:rsidR="005D270E">
        <w:t xml:space="preserve">  The must also account for losses in delivering electricity from the generator to the customer, based on </w:t>
      </w:r>
      <w:r w:rsidR="00CD0E8C">
        <w:t>peak</w:t>
      </w:r>
      <w:r w:rsidR="005D270E">
        <w:t xml:space="preserve"> loss factors for each utility.  The capacity value is therefore increased by the </w:t>
      </w:r>
      <w:r w:rsidR="00B71A17">
        <w:t xml:space="preserve">PRM </w:t>
      </w:r>
      <w:r w:rsidR="005D270E">
        <w:t xml:space="preserve">and the applicable loss factors for each utility. </w:t>
      </w:r>
      <w:r w:rsidR="00CD0E8C">
        <w:lastRenderedPageBreak/>
        <w:t>Note that peak loss factors are used for generation and T&amp;D capacity while TOU loss factors</w:t>
      </w:r>
      <w:r w:rsidR="0056388C">
        <w:t xml:space="preserve"> are used for energy.</w:t>
      </w:r>
    </w:p>
    <w:p w14:paraId="4FDA7BEB" w14:textId="0CD4E732" w:rsidR="001C372A" w:rsidRDefault="001C372A" w:rsidP="001C372A">
      <w:pPr>
        <w:pStyle w:val="Heading3"/>
      </w:pPr>
      <w:bookmarkStart w:id="30" w:name="_Toc271574658"/>
      <w:bookmarkStart w:id="31" w:name="_Toc271575307"/>
      <w:bookmarkStart w:id="32" w:name="_Toc493516869"/>
      <w:r w:rsidRPr="08DBACB0">
        <w:t>Hourly allocation of capacity value</w:t>
      </w:r>
      <w:bookmarkEnd w:id="32"/>
    </w:p>
    <w:p w14:paraId="605C949F" w14:textId="4FE37611" w:rsidR="001C372A" w:rsidRDefault="69FA55F3" w:rsidP="008A6BDD">
      <w:r>
        <w:t>T</w:t>
      </w:r>
      <w:r w:rsidR="25651DA7">
        <w:t>he capacity values ($/kW-</w:t>
      </w:r>
      <w:proofErr w:type="spellStart"/>
      <w:r w:rsidR="25651DA7">
        <w:t>yr</w:t>
      </w:r>
      <w:proofErr w:type="spellEnd"/>
      <w:r w:rsidR="5E3DF426" w:rsidRPr="25ED4B98">
        <w:t>)</w:t>
      </w:r>
      <w:r w:rsidR="25651DA7" w:rsidRPr="25ED4B98">
        <w:t xml:space="preserve">, </w:t>
      </w:r>
      <w:r w:rsidR="5E3DF426">
        <w:t>after</w:t>
      </w:r>
      <w:r w:rsidR="5E3DF426" w:rsidRPr="25ED4B98">
        <w:t xml:space="preserve"> </w:t>
      </w:r>
      <w:r w:rsidR="25651DA7">
        <w:t>adjust</w:t>
      </w:r>
      <w:r w:rsidR="5E3DF426">
        <w:t>ing</w:t>
      </w:r>
      <w:r w:rsidR="25651DA7">
        <w:t xml:space="preserve"> for temperature, losses, and planning reserve margin</w:t>
      </w:r>
      <w:r w:rsidR="25651DA7" w:rsidRPr="25ED4B98">
        <w:t xml:space="preserve">, </w:t>
      </w:r>
      <w:r w:rsidR="4B7BB10F">
        <w:t xml:space="preserve">are then allocated to the hours of the year with highest system capacity need using the E3 RECAP model. </w:t>
      </w:r>
      <w:r w:rsidR="000C333A">
        <w:t>Using 63 years of historical load and generation data, the model determ</w:t>
      </w:r>
      <w:r w:rsidR="71465D1C">
        <w:t xml:space="preserve">ines the expected unserved energy (EUE) for each month/hour/day-type </w:t>
      </w:r>
      <w:proofErr w:type="gramStart"/>
      <w:r w:rsidR="71465D1C">
        <w:t>time period</w:t>
      </w:r>
      <w:proofErr w:type="gramEnd"/>
      <w:r w:rsidR="71465D1C">
        <w:t xml:space="preserve"> in the year.</w:t>
      </w:r>
      <w:r w:rsidR="5E3DF426" w:rsidRPr="25ED4B98">
        <w:t xml:space="preserve"> </w:t>
      </w:r>
      <w:r w:rsidR="6988F8FA" w:rsidRPr="6988F8FA">
        <w:t xml:space="preserve">As </w:t>
      </w:r>
      <w:r w:rsidR="6036B4E3" w:rsidRPr="6036B4E3">
        <w:t xml:space="preserve">renewable penetrations increase, EUE shifts from the afternoon to evenings as well as </w:t>
      </w:r>
      <w:r w:rsidR="5EF73D66" w:rsidRPr="6036B4E3">
        <w:t>to a relatively more weekends</w:t>
      </w:r>
      <w:r w:rsidR="1851181F" w:rsidRPr="25ED4B98">
        <w:t xml:space="preserve">. </w:t>
      </w:r>
      <w:r w:rsidR="6839749B" w:rsidRPr="6839749B">
        <w:t>A</w:t>
      </w:r>
      <w:r w:rsidR="5844988A" w:rsidRPr="5844988A">
        <w:t xml:space="preserve"> snapshot of these hourly EUE values in 2020 is shown below</w:t>
      </w:r>
      <w:r w:rsidR="001C372A">
        <w:rPr>
          <w:noProof/>
        </w:rPr>
        <w:drawing>
          <wp:inline distT="0" distB="0" distL="0" distR="0" wp14:anchorId="0B9DC016" wp14:editId="42C2CF45">
            <wp:extent cx="5943600" cy="2000250"/>
            <wp:effectExtent l="0" t="0" r="0" b="0"/>
            <wp:docPr id="1152710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5065A1F6" w14:textId="699D4AAC" w:rsidR="67BA36CA" w:rsidRDefault="67BA36CA">
      <w:r w:rsidRPr="008A6BDD">
        <w:rPr>
          <w:rFonts w:eastAsia="Calibri"/>
        </w:rPr>
        <w:t xml:space="preserve">These month/hour/day-type </w:t>
      </w:r>
      <w:r w:rsidR="5266027F" w:rsidRPr="008A6BDD">
        <w:rPr>
          <w:rFonts w:eastAsia="Calibri"/>
        </w:rPr>
        <w:t xml:space="preserve">EUE values are then allocated to days of the year using </w:t>
      </w:r>
      <w:r w:rsidR="6E38BAE7" w:rsidRPr="008A6BDD">
        <w:rPr>
          <w:rFonts w:eastAsia="Calibri"/>
        </w:rPr>
        <w:t xml:space="preserve">the 2015 daily temperature record for consistency with energy prices. </w:t>
      </w:r>
      <w:r w:rsidR="17C45E1D" w:rsidRPr="008A6BDD">
        <w:rPr>
          <w:rFonts w:eastAsia="Calibri"/>
        </w:rPr>
        <w:t xml:space="preserve">A load-weighted </w:t>
      </w:r>
      <w:r w:rsidR="17C1CD6C" w:rsidRPr="008A6BDD">
        <w:rPr>
          <w:rFonts w:eastAsia="Calibri"/>
        </w:rPr>
        <w:t xml:space="preserve">daily </w:t>
      </w:r>
      <w:r w:rsidR="17C45E1D" w:rsidRPr="008A6BDD">
        <w:rPr>
          <w:rFonts w:eastAsia="Calibri"/>
        </w:rPr>
        <w:t xml:space="preserve">maximum statewide temperature is calculated and all </w:t>
      </w:r>
      <w:r w:rsidR="587D81CD" w:rsidRPr="008A6BDD">
        <w:rPr>
          <w:rFonts w:eastAsia="Calibri"/>
        </w:rPr>
        <w:t xml:space="preserve">hours in </w:t>
      </w:r>
      <w:r w:rsidR="17C45E1D" w:rsidRPr="008A6BDD">
        <w:rPr>
          <w:rFonts w:eastAsia="Calibri"/>
        </w:rPr>
        <w:t>days w</w:t>
      </w:r>
      <w:r w:rsidR="17C1CD6C" w:rsidRPr="008A6BDD">
        <w:rPr>
          <w:rFonts w:eastAsia="Calibri"/>
        </w:rPr>
        <w:t>here this value exceeds 90</w:t>
      </w:r>
      <w:r w:rsidR="750C1CC8" w:rsidRPr="008A6BDD">
        <w:rPr>
          <w:rFonts w:eastAsia="Calibri"/>
        </w:rPr>
        <w:t xml:space="preserve"> degrees F receive the correspon</w:t>
      </w:r>
      <w:r w:rsidR="6C81CD12" w:rsidRPr="008A6BDD">
        <w:rPr>
          <w:rFonts w:eastAsia="Calibri"/>
        </w:rPr>
        <w:t>d</w:t>
      </w:r>
      <w:r w:rsidR="750C1CC8" w:rsidRPr="008A6BDD">
        <w:rPr>
          <w:rFonts w:eastAsia="Calibri"/>
        </w:rPr>
        <w:t>ing</w:t>
      </w:r>
      <w:r w:rsidR="6C81CD12" w:rsidRPr="008A6BDD">
        <w:rPr>
          <w:rFonts w:eastAsia="Calibri"/>
        </w:rPr>
        <w:t xml:space="preserve"> </w:t>
      </w:r>
      <w:r w:rsidR="587D81CD" w:rsidRPr="008A6BDD">
        <w:rPr>
          <w:rFonts w:eastAsia="Calibri"/>
        </w:rPr>
        <w:t xml:space="preserve">month/hour/day-type </w:t>
      </w:r>
      <w:r w:rsidR="6C81CD12" w:rsidRPr="008A6BDD">
        <w:rPr>
          <w:rFonts w:eastAsia="Calibri"/>
        </w:rPr>
        <w:t>EUE value from RECAP.</w:t>
      </w:r>
      <w:r w:rsidR="3397BAC1" w:rsidRPr="008A6BDD">
        <w:rPr>
          <w:rFonts w:eastAsia="Calibri"/>
        </w:rPr>
        <w:t xml:space="preserve"> </w:t>
      </w:r>
      <w:r w:rsidR="2072C5D2" w:rsidRPr="008A6BDD">
        <w:rPr>
          <w:rFonts w:eastAsia="Calibri"/>
        </w:rPr>
        <w:t>The resulting 8760 hourly capacity allocators are shown below.</w:t>
      </w:r>
    </w:p>
    <w:p w14:paraId="151A7687" w14:textId="5B364D3A" w:rsidR="00F03153" w:rsidRDefault="00F03153" w:rsidP="008A6BDD">
      <w:r>
        <w:rPr>
          <w:noProof/>
        </w:rPr>
        <w:lastRenderedPageBreak/>
        <w:drawing>
          <wp:inline distT="0" distB="0" distL="0" distR="0" wp14:anchorId="118543A2" wp14:editId="2725CF55">
            <wp:extent cx="5943600" cy="3200400"/>
            <wp:effectExtent l="0" t="0" r="0" b="0"/>
            <wp:docPr id="6541688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3D31F5B1" w14:textId="7C1185DC" w:rsidR="002D1092" w:rsidRDefault="002D1092" w:rsidP="008A6BDD">
      <w:r>
        <w:t>A downloadable version of RECAP can be found online.</w:t>
      </w:r>
      <w:r>
        <w:rPr>
          <w:rStyle w:val="FootnoteReference"/>
        </w:rPr>
        <w:footnoteReference w:id="9"/>
      </w:r>
      <w:r>
        <w:t xml:space="preserve"> The results shown above use this version of the model along with load and renewable generation forecasts consistent with the LTPP “Default – AAEE Sensitivity” scenario. E3 also plans to update renewable generation profiles and the dispatchable generator stack list before the final version of the model is released.</w:t>
      </w:r>
    </w:p>
    <w:p w14:paraId="3341C746" w14:textId="77777777" w:rsidR="00F03153" w:rsidRDefault="00F03153" w:rsidP="008A6BDD">
      <w:pPr>
        <w:pStyle w:val="Heading2"/>
      </w:pPr>
      <w:bookmarkStart w:id="33" w:name="_Toc493516870"/>
      <w:r>
        <w:t>Ancillary Services (AS)</w:t>
      </w:r>
      <w:bookmarkEnd w:id="30"/>
      <w:bookmarkEnd w:id="31"/>
      <w:bookmarkEnd w:id="33"/>
    </w:p>
    <w:p w14:paraId="7D86A50A" w14:textId="77777777" w:rsidR="00F03153" w:rsidRDefault="00F03153" w:rsidP="00F03153">
      <w:r>
        <w:t xml:space="preserve">Besides reducing the cost of wholesale purchases, reductions in demand at the meter result in additional value from the associated reduction in required procurement of ancillary services. The CAISO MRTU markets include four types of ancillary services: regulation up and down, spinning reserves, and non-spinning reserves.  The procurement of regulation services is generally independent of load; consequently, behind-the-meter load reductions and distributed </w:t>
      </w:r>
      <w:r>
        <w:lastRenderedPageBreak/>
        <w:t>generation exports will not affect their procurement.  However, both spinning and non-spinning reserves are directly linked to load—i</w:t>
      </w:r>
      <w:r w:rsidRPr="009662C9">
        <w:t xml:space="preserve">n accordance with WECC reliability standards, the California ISO </w:t>
      </w:r>
      <w:r>
        <w:t>must maintain</w:t>
      </w:r>
      <w:r w:rsidRPr="009662C9">
        <w:t xml:space="preserve"> an operating reserve equal to 5% of load served by hydro generators and 7% of loa</w:t>
      </w:r>
      <w:r>
        <w:t>d served by thermal generators.</w:t>
      </w:r>
    </w:p>
    <w:p w14:paraId="31765DF4" w14:textId="6E866197" w:rsidR="00F03153" w:rsidRDefault="00F03153" w:rsidP="00F03153">
      <w:r>
        <w:t xml:space="preserve">As a result, load reductions do result in a reduction in the procurement of reserves; the value of this reduced procurement is included as a value stream in the Avoided Cost Calculator.  It is assumed that the value of avoided reserves procurement scales with the value of energy in each hour throughout the year.  According to the CAISO’s </w:t>
      </w:r>
      <w:r w:rsidR="00CC71B3" w:rsidRPr="00336CA6">
        <w:t>201</w:t>
      </w:r>
      <w:r w:rsidR="00CC71B3">
        <w:t>5</w:t>
      </w:r>
      <w:r w:rsidR="00CC71B3" w:rsidRPr="42C633DC">
        <w:t xml:space="preserve"> </w:t>
      </w:r>
      <w:r w:rsidRPr="00336CA6">
        <w:t>Annual Report on Market Issues and Performance</w:t>
      </w:r>
      <w:r>
        <w:rPr>
          <w:rStyle w:val="FootnoteReference"/>
        </w:rPr>
        <w:footnoteReference w:id="10"/>
      </w:r>
      <w:r w:rsidRPr="42C633DC">
        <w:t xml:space="preserve">, </w:t>
      </w:r>
      <w:r w:rsidR="000B0B1C">
        <w:t>ancillary service costs in</w:t>
      </w:r>
      <w:r w:rsidRPr="42C633DC">
        <w:t xml:space="preserve"> </w:t>
      </w:r>
      <w:r w:rsidR="00CC71B3">
        <w:t xml:space="preserve">2015 </w:t>
      </w:r>
      <w:r>
        <w:t xml:space="preserve">averaged </w:t>
      </w:r>
      <w:r w:rsidR="000B0B1C">
        <w:t>0.7% of the</w:t>
      </w:r>
      <w:r w:rsidRPr="42C633DC">
        <w:t xml:space="preserve"> </w:t>
      </w:r>
      <w:r w:rsidR="000B0B1C">
        <w:t xml:space="preserve">wholesale </w:t>
      </w:r>
      <w:r>
        <w:t xml:space="preserve">energy </w:t>
      </w:r>
      <w:r w:rsidR="000B0B1C">
        <w:t>costs</w:t>
      </w:r>
      <w:r>
        <w:t xml:space="preserve">.  E3 uses this </w:t>
      </w:r>
      <w:r w:rsidR="000B0B1C">
        <w:t xml:space="preserve">percentage </w:t>
      </w:r>
      <w:r>
        <w:t>to assess the value of avoided A/S procurement in each hour.</w:t>
      </w:r>
    </w:p>
    <w:p w14:paraId="24FF3415" w14:textId="77777777" w:rsidR="00273CE0" w:rsidRPr="00D52504" w:rsidRDefault="00273CE0">
      <w:pPr>
        <w:pStyle w:val="Heading2"/>
      </w:pPr>
      <w:bookmarkStart w:id="34" w:name="_Toc493516871"/>
      <w:r>
        <w:t>T&amp;D Capacity</w:t>
      </w:r>
      <w:bookmarkEnd w:id="34"/>
    </w:p>
    <w:p w14:paraId="6D7DC652" w14:textId="6E11D7F8" w:rsidR="00273CE0" w:rsidRPr="00D52504" w:rsidRDefault="00273CE0" w:rsidP="00273CE0">
      <w:r>
        <w:t>The avoided electricity avoided costs include the value of reducing the need for transmission and distribution capacity expansion.  Of the six avoided cost components, T&amp;D costs are unique in that both the value and hourly allocation are location specific.  Avoided T&amp;D costs are determined separately for each utility.  The avoided T&amp;D costs have been updated by climate zone for PG&amp;E, and at the system level for SCE and SDG&amp;E territories based on utility ratemaking proceedings.    The T&amp;D avoided costs escalate by 2% per year in nominal terms.</w:t>
      </w:r>
    </w:p>
    <w:p w14:paraId="0D2E1694" w14:textId="4514C7F7" w:rsidR="00273CE0" w:rsidRDefault="00273CE0" w:rsidP="00273CE0">
      <w:pPr>
        <w:pStyle w:val="Caption"/>
      </w:pPr>
      <w:r>
        <w:t xml:space="preserve">Table </w:t>
      </w:r>
      <w:fldSimple w:instr=" SEQ Table \* ARABIC ">
        <w:r w:rsidR="006B2392">
          <w:rPr>
            <w:noProof/>
          </w:rPr>
          <w:t>3</w:t>
        </w:r>
      </w:fldSimple>
      <w:r>
        <w:t xml:space="preserve">:  Updated T&amp;D Capacity Costs </w:t>
      </w:r>
      <w:r w:rsidR="003A7B2B">
        <w:t>for SCE and SDG&amp;E</w:t>
      </w:r>
    </w:p>
    <w:p w14:paraId="43179013" w14:textId="18A57B40" w:rsidR="003A7B2B" w:rsidRDefault="005A1FFC" w:rsidP="008A6BDD">
      <w:pPr>
        <w:pStyle w:val="NoSpacing"/>
      </w:pPr>
      <w:r w:rsidRPr="005A1FFC">
        <w:rPr>
          <w:noProof/>
          <w:lang w:eastAsia="en-US"/>
        </w:rPr>
        <w:drawing>
          <wp:inline distT="0" distB="0" distL="0" distR="0" wp14:anchorId="2DBEE102" wp14:editId="7C425AE2">
            <wp:extent cx="4678680" cy="1163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1163955"/>
                    </a:xfrm>
                    <a:prstGeom prst="rect">
                      <a:avLst/>
                    </a:prstGeom>
                    <a:noFill/>
                    <a:ln>
                      <a:noFill/>
                    </a:ln>
                  </pic:spPr>
                </pic:pic>
              </a:graphicData>
            </a:graphic>
          </wp:inline>
        </w:drawing>
      </w:r>
    </w:p>
    <w:p w14:paraId="69D06D95" w14:textId="6C20BB3E" w:rsidR="003A7B2B" w:rsidRPr="008A6BDD" w:rsidRDefault="00510478" w:rsidP="008A6BDD">
      <w:pPr>
        <w:pStyle w:val="NoSpacing"/>
        <w:spacing w:before="120"/>
        <w:rPr>
          <w:sz w:val="20"/>
        </w:rPr>
      </w:pPr>
      <w:r w:rsidRPr="00813981">
        <w:rPr>
          <w:sz w:val="20"/>
          <w:szCs w:val="20"/>
        </w:rPr>
        <w:lastRenderedPageBreak/>
        <w:t>SCE 2015 General Rate Case:</w:t>
      </w:r>
      <w:r w:rsidR="003A7B2B" w:rsidRPr="008A6BDD">
        <w:rPr>
          <w:sz w:val="20"/>
          <w:szCs w:val="20"/>
        </w:rPr>
        <w:t xml:space="preserve">  http://docs.cpuc.ca.gov/PublishedDocs/Efile/G000/M155/K034/155034804.PDF, p.6</w:t>
      </w:r>
    </w:p>
    <w:p w14:paraId="278F0CDA" w14:textId="1E79009E" w:rsidR="003A7B2B" w:rsidRPr="008A6BDD" w:rsidRDefault="00510478" w:rsidP="008A6BDD">
      <w:pPr>
        <w:pStyle w:val="NoSpacing"/>
        <w:spacing w:before="120"/>
        <w:rPr>
          <w:sz w:val="20"/>
        </w:rPr>
      </w:pPr>
      <w:r w:rsidRPr="00813981">
        <w:rPr>
          <w:sz w:val="20"/>
          <w:szCs w:val="20"/>
        </w:rPr>
        <w:t xml:space="preserve">SDG&amp;E 2015 General Rate Case:  </w:t>
      </w:r>
      <w:proofErr w:type="gramStart"/>
      <w:r w:rsidR="003A7B2B" w:rsidRPr="008A6BDD">
        <w:rPr>
          <w:sz w:val="20"/>
          <w:szCs w:val="20"/>
        </w:rPr>
        <w:t>https://www.sdge.com/sites/default/files/regulatory/Saxe%20Clean%20w_Attachments.pdf  Attachment</w:t>
      </w:r>
      <w:proofErr w:type="gramEnd"/>
      <w:r w:rsidR="003A7B2B" w:rsidRPr="008A6BDD">
        <w:rPr>
          <w:sz w:val="20"/>
          <w:szCs w:val="20"/>
        </w:rPr>
        <w:t xml:space="preserve"> A</w:t>
      </w:r>
    </w:p>
    <w:p w14:paraId="3464C99A" w14:textId="77777777" w:rsidR="003A7B2B" w:rsidRDefault="003A7B2B" w:rsidP="008A6BDD">
      <w:pPr>
        <w:pStyle w:val="Caption"/>
        <w:spacing w:before="120"/>
      </w:pPr>
    </w:p>
    <w:p w14:paraId="06BAD99D" w14:textId="3E71B3B0" w:rsidR="003A7B2B" w:rsidRPr="00F150F9" w:rsidRDefault="003A7B2B" w:rsidP="003A7B2B">
      <w:pPr>
        <w:pStyle w:val="Caption"/>
      </w:pPr>
      <w:r>
        <w:t xml:space="preserve">Table </w:t>
      </w:r>
      <w:r w:rsidRPr="008A6BDD">
        <w:fldChar w:fldCharType="begin"/>
      </w:r>
      <w:r>
        <w:instrText xml:space="preserve"> SEQ Table \* ARABIC </w:instrText>
      </w:r>
      <w:r w:rsidRPr="008A6BDD">
        <w:fldChar w:fldCharType="separate"/>
      </w:r>
      <w:r w:rsidR="006B2392">
        <w:rPr>
          <w:noProof/>
        </w:rPr>
        <w:t>4</w:t>
      </w:r>
      <w:r w:rsidRPr="008A6BDD">
        <w:fldChar w:fldCharType="end"/>
      </w:r>
      <w:r>
        <w:t>:  Updated T&amp;D Capacity Costs for PG&amp;E</w:t>
      </w:r>
    </w:p>
    <w:p w14:paraId="2AF2ED82" w14:textId="65EEF73C" w:rsidR="00273CE0" w:rsidRDefault="005A1FFC" w:rsidP="008A6BDD">
      <w:pPr>
        <w:pStyle w:val="NoSpacing"/>
      </w:pPr>
      <w:r w:rsidRPr="005A1FFC">
        <w:rPr>
          <w:noProof/>
          <w:lang w:eastAsia="en-US"/>
        </w:rPr>
        <w:drawing>
          <wp:inline distT="0" distB="0" distL="0" distR="0" wp14:anchorId="6DCCA44D" wp14:editId="0511C5CA">
            <wp:extent cx="5943600" cy="4041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1582"/>
                    </a:xfrm>
                    <a:prstGeom prst="rect">
                      <a:avLst/>
                    </a:prstGeom>
                    <a:noFill/>
                    <a:ln>
                      <a:noFill/>
                    </a:ln>
                  </pic:spPr>
                </pic:pic>
              </a:graphicData>
            </a:graphic>
          </wp:inline>
        </w:drawing>
      </w:r>
    </w:p>
    <w:p w14:paraId="18C840C9" w14:textId="547E15AA" w:rsidR="003A7B2B" w:rsidRPr="008A6BDD" w:rsidRDefault="003A7B2B" w:rsidP="008A6BDD">
      <w:pPr>
        <w:pStyle w:val="NoSpacing"/>
        <w:rPr>
          <w:i/>
          <w:sz w:val="20"/>
        </w:rPr>
      </w:pPr>
      <w:r w:rsidRPr="008A6BDD">
        <w:rPr>
          <w:i/>
          <w:iCs/>
          <w:sz w:val="20"/>
          <w:szCs w:val="20"/>
        </w:rPr>
        <w:t>* Secondary values converted from $/FLT to $/PCAF using ratios of FLT demand to PCAF demand in each Division</w:t>
      </w:r>
    </w:p>
    <w:p w14:paraId="639BA95C" w14:textId="4DE0922F" w:rsidR="003A7B2B" w:rsidRPr="008A6BDD" w:rsidRDefault="003A7B2B" w:rsidP="008A6BDD">
      <w:pPr>
        <w:pStyle w:val="NoSpacing"/>
        <w:rPr>
          <w:i/>
          <w:sz w:val="20"/>
        </w:rPr>
      </w:pPr>
      <w:r w:rsidRPr="008A6BDD">
        <w:rPr>
          <w:i/>
          <w:iCs/>
          <w:sz w:val="20"/>
          <w:szCs w:val="20"/>
        </w:rPr>
        <w:t xml:space="preserve">PG&amp;E 2014 General Rate Case:  </w:t>
      </w:r>
      <w:proofErr w:type="gramStart"/>
      <w:r w:rsidRPr="008A6BDD">
        <w:rPr>
          <w:i/>
          <w:iCs/>
          <w:sz w:val="20"/>
          <w:szCs w:val="20"/>
        </w:rPr>
        <w:t xml:space="preserve">http://docs.cpuc.ca.gov/PublishedDocs/Efile/G000/M099/K767/99767963.PDF  </w:t>
      </w:r>
      <w:proofErr w:type="spellStart"/>
      <w:r w:rsidRPr="008A6BDD">
        <w:rPr>
          <w:i/>
          <w:iCs/>
          <w:sz w:val="20"/>
          <w:szCs w:val="20"/>
        </w:rPr>
        <w:t>pg</w:t>
      </w:r>
      <w:proofErr w:type="spellEnd"/>
      <w:proofErr w:type="gramEnd"/>
      <w:r w:rsidRPr="008A6BDD">
        <w:rPr>
          <w:i/>
          <w:iCs/>
          <w:sz w:val="20"/>
          <w:szCs w:val="20"/>
        </w:rPr>
        <w:t xml:space="preserve"> A2-A3</w:t>
      </w:r>
    </w:p>
    <w:p w14:paraId="448E5425" w14:textId="6B686D96" w:rsidR="00273CE0" w:rsidRPr="00E72735" w:rsidRDefault="00273CE0" w:rsidP="00273CE0">
      <w:r>
        <w:t xml:space="preserve">The value of deferring distribution investments is highly dependent the type and size of the equipment deferred and the rate of load growth, both of which vary significantly by location.  Furthermore, some distribution costs are driven by distance or number of customers rather than load and are therefore not avoided with reduced energy consumption.  However, expediency and data limitations preclude analysis at a feeder by feeder level for a statewide analysis of avoided costs.  </w:t>
      </w:r>
      <w:r w:rsidR="00510478">
        <w:t xml:space="preserve">A more detailed examination of distribution avoided costs is </w:t>
      </w:r>
      <w:r w:rsidR="00510478">
        <w:lastRenderedPageBreak/>
        <w:t xml:space="preserve">currently underway for the IOUs as part of the Distribution Resource Plan proceeding (R.14-08-013). </w:t>
      </w:r>
      <w:r>
        <w:t xml:space="preserve">The costs taken from utility rate case filings are used as a reasonable proxy for the long-run marginal cost T&amp;D investment that is avoided over time with the addition of distributed energy resources.  </w:t>
      </w:r>
    </w:p>
    <w:p w14:paraId="233ED799" w14:textId="5DFEEE35" w:rsidR="00273CE0" w:rsidRDefault="00273CE0" w:rsidP="00273CE0">
      <w:r>
        <w:t>The value of deferring transmission and distribution investments is adjusted for losses during the peak</w:t>
      </w:r>
      <w:r w:rsidR="008A562A">
        <w:t xml:space="preserve"> period using the factors shown </w:t>
      </w:r>
      <w:r>
        <w:t>in</w:t>
      </w:r>
      <w:r w:rsidR="008A562A">
        <w:t xml:space="preserve"> </w:t>
      </w:r>
      <w:r w:rsidR="008A562A">
        <w:fldChar w:fldCharType="begin"/>
      </w:r>
      <w:r w:rsidR="008A562A">
        <w:instrText xml:space="preserve"> REF _Ref315352400 \h </w:instrText>
      </w:r>
      <w:r w:rsidR="008A562A">
        <w:fldChar w:fldCharType="separate"/>
      </w:r>
      <w:r w:rsidR="00A05C18">
        <w:t xml:space="preserve">Table </w:t>
      </w:r>
      <w:r w:rsidR="00A05C18">
        <w:rPr>
          <w:noProof/>
        </w:rPr>
        <w:t>5</w:t>
      </w:r>
      <w:r w:rsidR="00A05C18" w:rsidDel="00DC492E">
        <w:rPr>
          <w:noProof/>
        </w:rPr>
        <w:t>4</w:t>
      </w:r>
      <w:r w:rsidR="008A562A">
        <w:fldChar w:fldCharType="end"/>
      </w:r>
      <w:r w:rsidR="008A562A">
        <w:t xml:space="preserve"> </w:t>
      </w:r>
      <w:r>
        <w:t>and</w:t>
      </w:r>
      <w:r w:rsidR="008A562A">
        <w:t xml:space="preserve"> </w:t>
      </w:r>
      <w:r w:rsidR="008A562A">
        <w:fldChar w:fldCharType="begin"/>
      </w:r>
      <w:r w:rsidR="008A562A">
        <w:instrText xml:space="preserve"> REF _Ref315352406 \h </w:instrText>
      </w:r>
      <w:r w:rsidR="008A562A">
        <w:fldChar w:fldCharType="separate"/>
      </w:r>
      <w:r w:rsidR="00A05C18">
        <w:t xml:space="preserve">Table </w:t>
      </w:r>
      <w:r w:rsidR="00A05C18">
        <w:rPr>
          <w:noProof/>
        </w:rPr>
        <w:t>6</w:t>
      </w:r>
      <w:r w:rsidR="00A05C18" w:rsidDel="00DC492E">
        <w:rPr>
          <w:noProof/>
        </w:rPr>
        <w:t>5</w:t>
      </w:r>
      <w:r w:rsidR="008A562A">
        <w:fldChar w:fldCharType="end"/>
      </w:r>
      <w:r>
        <w:t>.  These factors are lower than the energy and generation capacity loss factors because they represent losses from secondary meter to only the distribution or transmission facilities.</w:t>
      </w:r>
    </w:p>
    <w:p w14:paraId="3CE1DF59" w14:textId="3825F1D4" w:rsidR="00273CE0" w:rsidRDefault="00273CE0" w:rsidP="00273CE0">
      <w:pPr>
        <w:pStyle w:val="Caption"/>
      </w:pPr>
      <w:bookmarkStart w:id="35" w:name="_Ref315352400"/>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5</w:t>
      </w:r>
      <w:r w:rsidR="00813981" w:rsidRPr="008A6BDD">
        <w:fldChar w:fldCharType="end"/>
      </w:r>
      <w:bookmarkEnd w:id="35"/>
      <w:r>
        <w:t>. Losses factors for SCE and SDG&amp;E transmission and distribution capacity.</w:t>
      </w:r>
    </w:p>
    <w:tbl>
      <w:tblPr>
        <w:tblStyle w:val="TableGrid8"/>
        <w:tblW w:w="0" w:type="auto"/>
        <w:tblLook w:val="01E0" w:firstRow="1" w:lastRow="1" w:firstColumn="1" w:lastColumn="1" w:noHBand="0" w:noVBand="0"/>
        <w:tblCaption w:val=""/>
        <w:tblDescription w:val=""/>
      </w:tblPr>
      <w:tblGrid>
        <w:gridCol w:w="1417"/>
        <w:gridCol w:w="721"/>
        <w:gridCol w:w="907"/>
      </w:tblGrid>
      <w:tr w:rsidR="00273CE0" w:rsidRPr="00D05611" w14:paraId="4A951EBE" w14:textId="77777777" w:rsidTr="008A6BDD">
        <w:trPr>
          <w:cnfStyle w:val="100000000000" w:firstRow="1" w:lastRow="0" w:firstColumn="0" w:lastColumn="0" w:oddVBand="0" w:evenVBand="0" w:oddHBand="0" w:evenHBand="0" w:firstRowFirstColumn="0" w:firstRowLastColumn="0" w:lastRowFirstColumn="0" w:lastRowLastColumn="0"/>
        </w:trPr>
        <w:tc>
          <w:tcPr>
            <w:tcW w:w="0" w:type="dxa"/>
            <w:shd w:val="clear" w:color="auto" w:fill="034E6E" w:themeFill="accent1"/>
          </w:tcPr>
          <w:p w14:paraId="40424035" w14:textId="77777777" w:rsidR="00273CE0" w:rsidRPr="00D05611" w:rsidRDefault="00273CE0" w:rsidP="002E5AEA">
            <w:pPr>
              <w:spacing w:before="0" w:after="0" w:line="240" w:lineRule="auto"/>
            </w:pPr>
          </w:p>
        </w:tc>
        <w:tc>
          <w:tcPr>
            <w:tcW w:w="0" w:type="dxa"/>
          </w:tcPr>
          <w:p w14:paraId="48A61A27" w14:textId="77777777" w:rsidR="00273CE0" w:rsidRPr="00325C9D" w:rsidRDefault="00273CE0" w:rsidP="002E5AEA">
            <w:pPr>
              <w:spacing w:before="0" w:after="0" w:line="240" w:lineRule="auto"/>
              <w:jc w:val="center"/>
              <w:rPr>
                <w:b w:val="0"/>
              </w:rPr>
            </w:pPr>
            <w:r w:rsidRPr="00813981">
              <w:rPr>
                <w:b w:val="0"/>
                <w:bCs w:val="0"/>
              </w:rPr>
              <w:t>SCE</w:t>
            </w:r>
          </w:p>
        </w:tc>
        <w:tc>
          <w:tcPr>
            <w:cnfStyle w:val="000100000000" w:firstRow="0" w:lastRow="0" w:firstColumn="0" w:lastColumn="1" w:oddVBand="0" w:evenVBand="0" w:oddHBand="0" w:evenHBand="0" w:firstRowFirstColumn="0" w:firstRowLastColumn="0" w:lastRowFirstColumn="0" w:lastRowLastColumn="0"/>
            <w:tcW w:w="0" w:type="dxa"/>
          </w:tcPr>
          <w:p w14:paraId="27462F66" w14:textId="77777777" w:rsidR="00273CE0" w:rsidRPr="00325C9D" w:rsidRDefault="00273CE0" w:rsidP="002E5AEA">
            <w:pPr>
              <w:spacing w:before="0" w:after="0" w:line="240" w:lineRule="auto"/>
              <w:jc w:val="center"/>
            </w:pPr>
            <w:r w:rsidRPr="00813981">
              <w:rPr>
                <w:b w:val="0"/>
                <w:bCs w:val="0"/>
              </w:rPr>
              <w:t>SDG&amp;E</w:t>
            </w:r>
          </w:p>
        </w:tc>
      </w:tr>
      <w:tr w:rsidR="00273CE0" w:rsidRPr="00D05611" w14:paraId="33D07CA3" w14:textId="77777777" w:rsidTr="008A6BDD">
        <w:tc>
          <w:tcPr>
            <w:tcW w:w="0" w:type="dxa"/>
          </w:tcPr>
          <w:p w14:paraId="55C92BD3"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Distribution</w:t>
            </w:r>
          </w:p>
        </w:tc>
        <w:tc>
          <w:tcPr>
            <w:tcW w:w="0" w:type="dxa"/>
          </w:tcPr>
          <w:p w14:paraId="21A31E76"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1.022</w:t>
            </w:r>
          </w:p>
        </w:tc>
        <w:tc>
          <w:tcPr>
            <w:cnfStyle w:val="000100000000" w:firstRow="0" w:lastRow="0" w:firstColumn="0" w:lastColumn="1" w:oddVBand="0" w:evenVBand="0" w:oddHBand="0" w:evenHBand="0" w:firstRowFirstColumn="0" w:firstRowLastColumn="0" w:lastRowFirstColumn="0" w:lastRowLastColumn="0"/>
            <w:tcW w:w="0" w:type="dxa"/>
          </w:tcPr>
          <w:p w14:paraId="09D4626C"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1.043</w:t>
            </w:r>
          </w:p>
        </w:tc>
      </w:tr>
      <w:tr w:rsidR="00273CE0" w:rsidRPr="00D05611" w14:paraId="4AD681EA" w14:textId="77777777" w:rsidTr="008A6BDD">
        <w:trPr>
          <w:cnfStyle w:val="010000000000" w:firstRow="0" w:lastRow="1" w:firstColumn="0" w:lastColumn="0" w:oddVBand="0" w:evenVBand="0" w:oddHBand="0" w:evenHBand="0" w:firstRowFirstColumn="0" w:firstRowLastColumn="0" w:lastRowFirstColumn="0" w:lastRowLastColumn="0"/>
        </w:trPr>
        <w:tc>
          <w:tcPr>
            <w:tcW w:w="0" w:type="dxa"/>
          </w:tcPr>
          <w:p w14:paraId="604A43EB"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Transmission</w:t>
            </w:r>
          </w:p>
        </w:tc>
        <w:tc>
          <w:tcPr>
            <w:tcW w:w="0" w:type="dxa"/>
          </w:tcPr>
          <w:p w14:paraId="1C1C6BE2"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1.054</w:t>
            </w:r>
          </w:p>
        </w:tc>
        <w:tc>
          <w:tcPr>
            <w:cnfStyle w:val="000100000000" w:firstRow="0" w:lastRow="0" w:firstColumn="0" w:lastColumn="1" w:oddVBand="0" w:evenVBand="0" w:oddHBand="0" w:evenHBand="0" w:firstRowFirstColumn="0" w:firstRowLastColumn="0" w:lastRowFirstColumn="0" w:lastRowLastColumn="0"/>
            <w:tcW w:w="0" w:type="dxa"/>
          </w:tcPr>
          <w:p w14:paraId="09638AF5" w14:textId="77777777" w:rsidR="00273CE0" w:rsidRPr="00D05611" w:rsidRDefault="00273CE0" w:rsidP="002E5AEA">
            <w:pPr>
              <w:spacing w:before="0" w:after="0" w:line="240" w:lineRule="auto"/>
              <w:jc w:val="center"/>
            </w:pPr>
            <w:r w:rsidRPr="008A6BDD">
              <w:rPr>
                <w:rFonts w:asciiTheme="minorHAnsi" w:eastAsiaTheme="minorEastAsia" w:hAnsiTheme="minorHAnsi" w:cstheme="minorBidi"/>
                <w:sz w:val="22"/>
                <w:szCs w:val="22"/>
              </w:rPr>
              <w:t>1.071</w:t>
            </w:r>
          </w:p>
        </w:tc>
      </w:tr>
    </w:tbl>
    <w:p w14:paraId="2242CE98" w14:textId="77777777" w:rsidR="00273CE0" w:rsidRDefault="00273CE0" w:rsidP="00273CE0"/>
    <w:p w14:paraId="77FC55DD" w14:textId="552559CF" w:rsidR="00273CE0" w:rsidRDefault="00273CE0" w:rsidP="00273CE0">
      <w:pPr>
        <w:pStyle w:val="Caption"/>
      </w:pPr>
      <w:bookmarkStart w:id="36" w:name="_Ref315352406"/>
      <w:r>
        <w:lastRenderedPageBreak/>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6</w:t>
      </w:r>
      <w:r w:rsidR="00813981" w:rsidRPr="008A6BDD">
        <w:fldChar w:fldCharType="end"/>
      </w:r>
      <w:bookmarkEnd w:id="36"/>
      <w:r>
        <w:t>:  Losses factors for PG&amp;E transmission and distribution capacity.</w:t>
      </w:r>
    </w:p>
    <w:tbl>
      <w:tblPr>
        <w:tblStyle w:val="ListTable3-Accent1"/>
        <w:tblW w:w="7000" w:type="dxa"/>
        <w:tblLook w:val="04A0" w:firstRow="1" w:lastRow="0" w:firstColumn="1" w:lastColumn="0" w:noHBand="0" w:noVBand="1"/>
        <w:tblCaption w:val=""/>
        <w:tblDescription w:val=""/>
      </w:tblPr>
      <w:tblGrid>
        <w:gridCol w:w="2517"/>
        <w:gridCol w:w="2331"/>
        <w:gridCol w:w="2152"/>
      </w:tblGrid>
      <w:tr w:rsidR="00273CE0" w:rsidRPr="002D7E26" w14:paraId="70AA445E" w14:textId="77777777" w:rsidTr="008A6BDD">
        <w:trPr>
          <w:cnfStyle w:val="100000000000" w:firstRow="1" w:lastRow="0" w:firstColumn="0" w:lastColumn="0" w:oddVBand="0" w:evenVBand="0" w:oddHBand="0" w:evenHBand="0" w:firstRowFirstColumn="0" w:firstRowLastColumn="0" w:lastRowFirstColumn="0" w:lastRowLastColumn="0"/>
          <w:cantSplit/>
          <w:trHeight w:val="525"/>
        </w:trPr>
        <w:tc>
          <w:tcPr>
            <w:cnfStyle w:val="001000000100" w:firstRow="0" w:lastRow="0" w:firstColumn="1" w:lastColumn="0" w:oddVBand="0" w:evenVBand="0" w:oddHBand="0" w:evenHBand="0" w:firstRowFirstColumn="1" w:firstRowLastColumn="0" w:lastRowFirstColumn="0" w:lastRowLastColumn="0"/>
            <w:tcW w:w="0" w:type="dxa"/>
            <w:noWrap/>
          </w:tcPr>
          <w:p w14:paraId="2676E56A" w14:textId="77777777" w:rsidR="00273CE0" w:rsidRPr="002D7E26" w:rsidRDefault="00273CE0" w:rsidP="002E5AEA">
            <w:pPr>
              <w:keepNext/>
              <w:keepLines/>
              <w:spacing w:before="0" w:after="0" w:line="240" w:lineRule="auto"/>
              <w:jc w:val="center"/>
              <w:rPr>
                <w:rFonts w:cs="Times New Roman"/>
                <w:color w:val="000000"/>
                <w:szCs w:val="20"/>
              </w:rPr>
            </w:pPr>
          </w:p>
        </w:tc>
        <w:tc>
          <w:tcPr>
            <w:tcW w:w="0" w:type="dxa"/>
          </w:tcPr>
          <w:p w14:paraId="3A4BDD2A"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Transmission</w:t>
            </w:r>
          </w:p>
        </w:tc>
        <w:tc>
          <w:tcPr>
            <w:tcW w:w="0" w:type="dxa"/>
          </w:tcPr>
          <w:p w14:paraId="0B705CF1"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Distribution</w:t>
            </w:r>
          </w:p>
        </w:tc>
      </w:tr>
      <w:tr w:rsidR="00273CE0" w:rsidRPr="002D7E26" w14:paraId="6FD06492" w14:textId="77777777" w:rsidTr="008A6BDD">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0" w:type="dxa"/>
            <w:noWrap/>
          </w:tcPr>
          <w:p w14:paraId="4F0DBA8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CENTRAL COAST   </w:t>
            </w:r>
          </w:p>
        </w:tc>
        <w:tc>
          <w:tcPr>
            <w:tcW w:w="0" w:type="dxa"/>
            <w:noWrap/>
          </w:tcPr>
          <w:p w14:paraId="5CBA2BA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0" w:type="dxa"/>
            <w:noWrap/>
          </w:tcPr>
          <w:p w14:paraId="6D29989B"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422AC01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28AF3565"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DE ANZA         </w:t>
            </w:r>
          </w:p>
        </w:tc>
        <w:tc>
          <w:tcPr>
            <w:tcW w:w="0" w:type="dxa"/>
            <w:noWrap/>
          </w:tcPr>
          <w:p w14:paraId="64A01D0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0" w:type="dxa"/>
            <w:noWrap/>
          </w:tcPr>
          <w:p w14:paraId="6D85D434"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6343D76F"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7D18B754"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DIABLO          </w:t>
            </w:r>
          </w:p>
        </w:tc>
        <w:tc>
          <w:tcPr>
            <w:tcW w:w="0" w:type="dxa"/>
            <w:noWrap/>
          </w:tcPr>
          <w:p w14:paraId="383E0475"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0" w:type="dxa"/>
            <w:noWrap/>
          </w:tcPr>
          <w:p w14:paraId="3E3DC88E"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6453EDB0"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CACB416"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EAST BAY        </w:t>
            </w:r>
          </w:p>
        </w:tc>
        <w:tc>
          <w:tcPr>
            <w:tcW w:w="0" w:type="dxa"/>
            <w:noWrap/>
          </w:tcPr>
          <w:p w14:paraId="4885860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1.042</w:t>
            </w:r>
          </w:p>
        </w:tc>
        <w:tc>
          <w:tcPr>
            <w:tcW w:w="0" w:type="dxa"/>
            <w:noWrap/>
          </w:tcPr>
          <w:p w14:paraId="4572E8A5"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3615D2D"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2D25A6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FRESNO          </w:t>
            </w:r>
          </w:p>
        </w:tc>
        <w:tc>
          <w:tcPr>
            <w:tcW w:w="0" w:type="dxa"/>
            <w:noWrap/>
          </w:tcPr>
          <w:p w14:paraId="5AE3A0C6"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1.076</w:t>
            </w:r>
          </w:p>
        </w:tc>
        <w:tc>
          <w:tcPr>
            <w:tcW w:w="0" w:type="dxa"/>
            <w:noWrap/>
          </w:tcPr>
          <w:p w14:paraId="699BA6F8"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A5D8D2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9403C1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KERN            </w:t>
            </w:r>
          </w:p>
        </w:tc>
        <w:tc>
          <w:tcPr>
            <w:tcW w:w="0" w:type="dxa"/>
            <w:noWrap/>
          </w:tcPr>
          <w:p w14:paraId="504E6020"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1.065</w:t>
            </w:r>
          </w:p>
        </w:tc>
        <w:tc>
          <w:tcPr>
            <w:tcW w:w="0" w:type="dxa"/>
            <w:noWrap/>
          </w:tcPr>
          <w:p w14:paraId="69CA8BA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1.023</w:t>
            </w:r>
          </w:p>
        </w:tc>
      </w:tr>
      <w:tr w:rsidR="00273CE0" w:rsidRPr="009B1072" w14:paraId="6EE69968"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1FD873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LOS PADRES      </w:t>
            </w:r>
          </w:p>
        </w:tc>
        <w:tc>
          <w:tcPr>
            <w:tcW w:w="0" w:type="dxa"/>
            <w:noWrap/>
          </w:tcPr>
          <w:p w14:paraId="4639CFC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0" w:type="dxa"/>
            <w:noWrap/>
          </w:tcPr>
          <w:p w14:paraId="32E3F97A"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09E0733E"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1F980DB0"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MISSION         </w:t>
            </w:r>
          </w:p>
        </w:tc>
        <w:tc>
          <w:tcPr>
            <w:tcW w:w="0" w:type="dxa"/>
            <w:noWrap/>
          </w:tcPr>
          <w:p w14:paraId="2751E9C9"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1.047</w:t>
            </w:r>
          </w:p>
        </w:tc>
        <w:tc>
          <w:tcPr>
            <w:tcW w:w="0" w:type="dxa"/>
            <w:noWrap/>
          </w:tcPr>
          <w:p w14:paraId="0C829D7D"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BBE723A"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2B1D929"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BAY       </w:t>
            </w:r>
          </w:p>
        </w:tc>
        <w:tc>
          <w:tcPr>
            <w:tcW w:w="0" w:type="dxa"/>
            <w:noWrap/>
          </w:tcPr>
          <w:p w14:paraId="7BE49FE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0" w:type="dxa"/>
            <w:noWrap/>
          </w:tcPr>
          <w:p w14:paraId="0CD67E78"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474F083E"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7430CA1F"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COAST     </w:t>
            </w:r>
          </w:p>
        </w:tc>
        <w:tc>
          <w:tcPr>
            <w:tcW w:w="0" w:type="dxa"/>
            <w:noWrap/>
          </w:tcPr>
          <w:p w14:paraId="0EC70A2A"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0" w:type="dxa"/>
            <w:noWrap/>
          </w:tcPr>
          <w:p w14:paraId="04DDAD53"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F77BB56"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DFC0A1D"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NORTH VALLEY    </w:t>
            </w:r>
          </w:p>
        </w:tc>
        <w:tc>
          <w:tcPr>
            <w:tcW w:w="0" w:type="dxa"/>
            <w:noWrap/>
          </w:tcPr>
          <w:p w14:paraId="091CE15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1.073</w:t>
            </w:r>
          </w:p>
        </w:tc>
        <w:tc>
          <w:tcPr>
            <w:tcW w:w="0" w:type="dxa"/>
            <w:noWrap/>
          </w:tcPr>
          <w:p w14:paraId="33FD822D"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1.021</w:t>
            </w:r>
          </w:p>
        </w:tc>
      </w:tr>
      <w:tr w:rsidR="00273CE0" w:rsidRPr="002D7E26" w14:paraId="7F17A057"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F5A948E"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PENINSULA       </w:t>
            </w:r>
          </w:p>
        </w:tc>
        <w:tc>
          <w:tcPr>
            <w:tcW w:w="0" w:type="dxa"/>
            <w:noWrap/>
          </w:tcPr>
          <w:p w14:paraId="6101DBE8"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0" w:type="dxa"/>
            <w:noWrap/>
          </w:tcPr>
          <w:p w14:paraId="1F5E48B2"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C07162B"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86F14FA"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SACRAMENTO      </w:t>
            </w:r>
          </w:p>
        </w:tc>
        <w:tc>
          <w:tcPr>
            <w:tcW w:w="0" w:type="dxa"/>
            <w:noWrap/>
          </w:tcPr>
          <w:p w14:paraId="68849FE5"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0" w:type="dxa"/>
            <w:noWrap/>
          </w:tcPr>
          <w:p w14:paraId="42F715AB"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1F8473EC"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56EA2951"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SAN FRANCISCO   </w:t>
            </w:r>
          </w:p>
        </w:tc>
        <w:tc>
          <w:tcPr>
            <w:tcW w:w="0" w:type="dxa"/>
            <w:noWrap/>
          </w:tcPr>
          <w:p w14:paraId="703FDD04"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0" w:type="dxa"/>
            <w:noWrap/>
          </w:tcPr>
          <w:p w14:paraId="5D0EE56D"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1F8ED614"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375FD8BC"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SAN JOSE        </w:t>
            </w:r>
          </w:p>
        </w:tc>
        <w:tc>
          <w:tcPr>
            <w:tcW w:w="0" w:type="dxa"/>
            <w:noWrap/>
          </w:tcPr>
          <w:p w14:paraId="730A8062"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0" w:type="dxa"/>
            <w:noWrap/>
          </w:tcPr>
          <w:p w14:paraId="74EC1281"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1.018</w:t>
            </w:r>
          </w:p>
        </w:tc>
      </w:tr>
      <w:tr w:rsidR="00273CE0" w:rsidRPr="002D7E26" w14:paraId="4A3F9E80" w14:textId="77777777" w:rsidTr="008A6BDD">
        <w:trPr>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45B77071"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SIERRA          </w:t>
            </w:r>
          </w:p>
        </w:tc>
        <w:tc>
          <w:tcPr>
            <w:tcW w:w="0" w:type="dxa"/>
            <w:noWrap/>
          </w:tcPr>
          <w:p w14:paraId="29617B37"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1.054</w:t>
            </w:r>
          </w:p>
        </w:tc>
        <w:tc>
          <w:tcPr>
            <w:tcW w:w="0" w:type="dxa"/>
            <w:noWrap/>
          </w:tcPr>
          <w:p w14:paraId="1BC0B07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273CE0" w:rsidRPr="002D7E26" w14:paraId="4E885B4C" w14:textId="77777777" w:rsidTr="008A6BDD">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0" w:type="dxa"/>
            <w:noWrap/>
          </w:tcPr>
          <w:p w14:paraId="05B06E58"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STOCKTON        </w:t>
            </w:r>
          </w:p>
        </w:tc>
        <w:tc>
          <w:tcPr>
            <w:tcW w:w="0" w:type="dxa"/>
            <w:noWrap/>
          </w:tcPr>
          <w:p w14:paraId="5C85D147"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1.066</w:t>
            </w:r>
          </w:p>
        </w:tc>
        <w:tc>
          <w:tcPr>
            <w:tcW w:w="0" w:type="dxa"/>
            <w:noWrap/>
          </w:tcPr>
          <w:p w14:paraId="14BA6A2F" w14:textId="77777777" w:rsidR="00273CE0" w:rsidRPr="002D7E26" w:rsidRDefault="00273CE0" w:rsidP="002E5AEA">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273CE0" w:rsidRPr="002D7E26" w14:paraId="5DF6138B" w14:textId="77777777" w:rsidTr="008A6BDD">
        <w:trPr>
          <w:cantSplit/>
          <w:trHeight w:val="300"/>
        </w:trPr>
        <w:tc>
          <w:tcPr>
            <w:cnfStyle w:val="001000000000" w:firstRow="0" w:lastRow="0" w:firstColumn="1" w:lastColumn="0" w:oddVBand="0" w:evenVBand="0" w:oddHBand="0" w:evenHBand="0" w:firstRowFirstColumn="0" w:firstRowLastColumn="0" w:lastRowFirstColumn="0" w:lastRowLastColumn="0"/>
            <w:tcW w:w="0" w:type="dxa"/>
            <w:noWrap/>
          </w:tcPr>
          <w:p w14:paraId="602364B9" w14:textId="77777777" w:rsidR="00273CE0" w:rsidRPr="002D7E26" w:rsidRDefault="00273CE0" w:rsidP="002E5AEA">
            <w:pPr>
              <w:keepNext/>
              <w:keepLines/>
              <w:spacing w:before="0" w:after="0" w:line="240" w:lineRule="auto"/>
              <w:rPr>
                <w:rFonts w:cs="Times New Roman"/>
                <w:color w:val="000000"/>
                <w:szCs w:val="20"/>
              </w:rPr>
            </w:pPr>
            <w:r w:rsidRPr="008A6BDD">
              <w:rPr>
                <w:rFonts w:asciiTheme="minorHAnsi" w:eastAsiaTheme="minorEastAsia" w:hAnsiTheme="minorHAnsi" w:cstheme="minorBidi"/>
                <w:color w:val="000000"/>
                <w:sz w:val="22"/>
                <w:szCs w:val="22"/>
              </w:rPr>
              <w:t xml:space="preserve">YOSEMITE        </w:t>
            </w:r>
          </w:p>
        </w:tc>
        <w:tc>
          <w:tcPr>
            <w:tcW w:w="0" w:type="dxa"/>
            <w:noWrap/>
          </w:tcPr>
          <w:p w14:paraId="48DBFF8C"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1.067</w:t>
            </w:r>
          </w:p>
        </w:tc>
        <w:tc>
          <w:tcPr>
            <w:tcW w:w="0" w:type="dxa"/>
            <w:noWrap/>
          </w:tcPr>
          <w:p w14:paraId="3AE77EBE" w14:textId="77777777" w:rsidR="00273CE0" w:rsidRPr="002D7E26" w:rsidRDefault="00273CE0" w:rsidP="002E5AEA">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bl>
    <w:p w14:paraId="44589124" w14:textId="77777777" w:rsidR="00273CE0" w:rsidRDefault="00273CE0" w:rsidP="00273CE0"/>
    <w:p w14:paraId="14C4DD29" w14:textId="77777777" w:rsidR="00273CE0" w:rsidRDefault="00CC5EF2" w:rsidP="00273CE0">
      <w:pPr>
        <w:pStyle w:val="Heading3"/>
      </w:pPr>
      <w:bookmarkStart w:id="37" w:name="_Toc493516872"/>
      <w:r>
        <w:t>Hourly allocation of T&amp;D capacity cost</w:t>
      </w:r>
      <w:bookmarkEnd w:id="37"/>
    </w:p>
    <w:p w14:paraId="6B0A72CA" w14:textId="793B8367" w:rsidR="00AD07EB" w:rsidRDefault="00273CE0" w:rsidP="00273CE0">
      <w:r>
        <w:t xml:space="preserve">The method for allocating T&amp;D capacity costs to hours </w:t>
      </w:r>
      <w:r w:rsidR="00AD07EB">
        <w:t>has been updated to better reflect the pattern and timing of peak demand on the distribution system.  The prior temperature-based proxy has been replaced by a more sophisticated regression-based estimate of distribution hourly loads</w:t>
      </w:r>
      <w:r w:rsidR="00B86B31">
        <w:rPr>
          <w:rStyle w:val="FootnoteReference"/>
        </w:rPr>
        <w:footnoteReference w:id="11"/>
      </w:r>
      <w:r w:rsidR="00AD07EB">
        <w:t xml:space="preserve">.  The regression models are based on actual utility hourly distribution demands </w:t>
      </w:r>
      <w:r w:rsidR="00AD07EB">
        <w:lastRenderedPageBreak/>
        <w:t>and the corresponding temperature in the distribution area.  Using dummy variables, lag terms, and cross product terms, the regression</w:t>
      </w:r>
      <w:r w:rsidR="00AD07EB" w:rsidRPr="69141258">
        <w:t xml:space="preserve"> </w:t>
      </w:r>
      <w:r w:rsidR="00AD07EB">
        <w:t xml:space="preserve">models </w:t>
      </w:r>
      <w:proofErr w:type="gramStart"/>
      <w:r w:rsidR="00AD07EB">
        <w:t>are able to</w:t>
      </w:r>
      <w:proofErr w:type="gramEnd"/>
      <w:r w:rsidR="00AD07EB">
        <w:t xml:space="preserve"> simulate the distribution loads with about 90% accuracy (adjusted r-square)</w:t>
      </w:r>
      <w:r w:rsidR="00AD07EB">
        <w:rPr>
          <w:rStyle w:val="FootnoteReference"/>
        </w:rPr>
        <w:footnoteReference w:id="12"/>
      </w:r>
      <w:r w:rsidR="00AD07EB" w:rsidRPr="69141258">
        <w:t xml:space="preserve">.  </w:t>
      </w:r>
      <w:r w:rsidR="000E5EF4">
        <w:t xml:space="preserve"> To forecast the impact of local solar PV on the distribution loads, the analysis also subtracts off a forecast level of hourly PV generation from the distribution</w:t>
      </w:r>
      <w:r w:rsidR="000E5EF4" w:rsidRPr="69141258">
        <w:t xml:space="preserve"> </w:t>
      </w:r>
      <w:r w:rsidR="00FE3FAE">
        <w:t xml:space="preserve">load to produce an adjusted </w:t>
      </w:r>
      <w:r w:rsidR="000E5EF4">
        <w:t xml:space="preserve">distribution load shape.  The PV generation shape is based on the local area solar insolation, and the magnitude of the PV generation is based on the incremental statewide 2015 IEPR Mid-Demand forecast of solar penetration.  </w:t>
      </w:r>
      <w:r w:rsidR="000E5EF4" w:rsidRPr="69141258">
        <w:t xml:space="preserve">50 percent of the statewide incremental PV is assumed to be installed equally on a per-capital basis across the state, and the remaining 50% is assumed to be installed in proportion to </w:t>
      </w:r>
      <w:r w:rsidR="00FE3FAE" w:rsidRPr="69141258">
        <w:t>the 2013</w:t>
      </w:r>
      <w:r w:rsidR="000E5EF4" w:rsidRPr="69141258">
        <w:t xml:space="preserve"> per-capita installations.</w:t>
      </w:r>
      <w:r w:rsidR="000E5EF4" w:rsidRPr="42C633DC">
        <w:t xml:space="preserve"> </w:t>
      </w:r>
    </w:p>
    <w:p w14:paraId="736BA0D5" w14:textId="197F8E06" w:rsidR="00FE3FAE" w:rsidRDefault="00C920DD" w:rsidP="008A6BDD">
      <w:r>
        <w:t>On</w:t>
      </w:r>
      <w:r w:rsidR="000E5EF4">
        <w:t>c</w:t>
      </w:r>
      <w:r>
        <w:t xml:space="preserve">e the </w:t>
      </w:r>
      <w:r w:rsidR="00FE3FAE">
        <w:t xml:space="preserve">adjusted </w:t>
      </w:r>
      <w:r>
        <w:t>distribution loads are simulated using 2015 weather data for each climate zone</w:t>
      </w:r>
      <w:r w:rsidR="00FE3FAE">
        <w:t xml:space="preserve"> and the PV </w:t>
      </w:r>
      <w:proofErr w:type="gramStart"/>
      <w:r w:rsidR="00FE3FAE">
        <w:t>penetrations</w:t>
      </w:r>
      <w:r>
        <w:t xml:space="preserve">, </w:t>
      </w:r>
      <w:r w:rsidR="00273CE0">
        <w:t xml:space="preserve"> </w:t>
      </w:r>
      <w:r>
        <w:t>we</w:t>
      </w:r>
      <w:proofErr w:type="gramEnd"/>
      <w:r>
        <w:t xml:space="preserve"> allocate</w:t>
      </w:r>
      <w:r w:rsidR="00273CE0">
        <w:t xml:space="preserve"> the T&amp;D capacity value in each climate zone to the hours of the year during which the system is most likely to be constrained and require upgrades—the hours of highest local load.  </w:t>
      </w:r>
      <w:r w:rsidR="000E5EF4">
        <w:t>The allocation factors are derived using the peak capacity allocation factors method, with the additional constraint that the peak period contain between 20 and 500 hours for the year.</w:t>
      </w:r>
    </w:p>
    <w:p w14:paraId="2AA1DE80" w14:textId="77777777" w:rsidR="00FE3FAE" w:rsidRDefault="00FE3FAE" w:rsidP="008A6BDD">
      <w:pPr>
        <w:ind w:left="720"/>
      </w:pPr>
      <w:r>
        <w:t>PCAF[</w:t>
      </w:r>
      <w:proofErr w:type="spellStart"/>
      <w:proofErr w:type="gramStart"/>
      <w:r>
        <w:t>a,h</w:t>
      </w:r>
      <w:proofErr w:type="spellEnd"/>
      <w:proofErr w:type="gramEnd"/>
      <w:r>
        <w:t xml:space="preserve">] = </w:t>
      </w:r>
      <w:r w:rsidRPr="25ED4B98">
        <w:t>(</w:t>
      </w:r>
      <w:r>
        <w:t>Load[</w:t>
      </w:r>
      <w:proofErr w:type="spellStart"/>
      <w:r>
        <w:t>a,h</w:t>
      </w:r>
      <w:proofErr w:type="spellEnd"/>
      <w:r w:rsidRPr="25ED4B98">
        <w:t>] –</w:t>
      </w:r>
      <w:r>
        <w:t xml:space="preserve"> Threshold[a]</w:t>
      </w:r>
      <w:r w:rsidRPr="25ED4B98">
        <w:t>)</w:t>
      </w:r>
      <w:r>
        <w:t xml:space="preserve"> / Sum of all positive (Load[</w:t>
      </w:r>
      <w:proofErr w:type="spellStart"/>
      <w:r>
        <w:t>a,h</w:t>
      </w:r>
      <w:proofErr w:type="spellEnd"/>
      <w:r>
        <w:t>] – Threshold[a])</w:t>
      </w:r>
    </w:p>
    <w:p w14:paraId="34CF4ABF" w14:textId="77777777" w:rsidR="00FE3FAE" w:rsidRDefault="00FE3FAE" w:rsidP="008A6BDD">
      <w:pPr>
        <w:pStyle w:val="NoSpacing"/>
      </w:pPr>
      <w:r>
        <w:t xml:space="preserve">Where </w:t>
      </w:r>
    </w:p>
    <w:p w14:paraId="58D3B48C" w14:textId="58B86388" w:rsidR="00FE3FAE" w:rsidRDefault="00FE3FAE" w:rsidP="008A6BDD">
      <w:pPr>
        <w:pStyle w:val="NoSpacing"/>
        <w:ind w:left="720"/>
      </w:pPr>
      <w:r>
        <w:t xml:space="preserve">a is the climate zone area, </w:t>
      </w:r>
    </w:p>
    <w:p w14:paraId="58A4C029" w14:textId="77777777" w:rsidR="00FE3FAE" w:rsidRDefault="00FE3FAE" w:rsidP="008A6BDD">
      <w:pPr>
        <w:pStyle w:val="NoSpacing"/>
        <w:ind w:left="720"/>
      </w:pPr>
      <w:r>
        <w:t xml:space="preserve">h is hour of the year, </w:t>
      </w:r>
    </w:p>
    <w:p w14:paraId="5B32CCE5" w14:textId="77777777" w:rsidR="00FE3FAE" w:rsidRDefault="00FE3FAE" w:rsidP="008A6BDD">
      <w:pPr>
        <w:pStyle w:val="NoSpacing"/>
        <w:ind w:left="720"/>
      </w:pPr>
      <w:r>
        <w:t xml:space="preserve">Load is the net distribution load, and </w:t>
      </w:r>
    </w:p>
    <w:p w14:paraId="51566584" w14:textId="0C0F22D5" w:rsidR="00A701FB" w:rsidRDefault="00FE3FAE" w:rsidP="008A6BDD">
      <w:pPr>
        <w:pStyle w:val="NoSpacing"/>
        <w:ind w:left="720"/>
      </w:pPr>
      <w:r>
        <w:t xml:space="preserve">Threshold is the area maximum demand less one standard deviation, or the closest value that satisfies the constraint of between 20 and </w:t>
      </w:r>
      <w:r w:rsidR="0097348C">
        <w:t>250</w:t>
      </w:r>
      <w:r>
        <w:t xml:space="preserve"> hours with loads above the threshold.</w:t>
      </w:r>
    </w:p>
    <w:p w14:paraId="034CB740" w14:textId="0DA2A79A" w:rsidR="00273CE0" w:rsidRPr="00020926" w:rsidRDefault="002D70BF" w:rsidP="008A6BDD">
      <w:r w:rsidRPr="00C97CE1">
        <w:fldChar w:fldCharType="begin"/>
      </w:r>
      <w:r w:rsidRPr="002D70BF">
        <w:instrText xml:space="preserve"> REF _Ref452192165 \h </w:instrText>
      </w:r>
      <w:r>
        <w:instrText xml:space="preserve"> \* MERGEFORMAT </w:instrText>
      </w:r>
      <w:r w:rsidRPr="00C97CE1">
        <w:fldChar w:fldCharType="separate"/>
      </w:r>
      <w:r w:rsidRPr="002D70BF">
        <w:t xml:space="preserve">Figure </w:t>
      </w:r>
      <w:r w:rsidRPr="008A6BDD">
        <w:t>12</w:t>
      </w:r>
      <w:r w:rsidRPr="00C97CE1">
        <w:fldChar w:fldCharType="end"/>
      </w:r>
      <w:r>
        <w:t xml:space="preserve"> shows a summary of the updated T&amp;D allocation factors for Climate Zone 3 (Oakland) in 20</w:t>
      </w:r>
      <w:r w:rsidR="002F7669">
        <w:t>20</w:t>
      </w:r>
      <w:r>
        <w:t xml:space="preserve">.  The blue line shows the total allocation weight for each hour of the day (in Pacific </w:t>
      </w:r>
      <w:r>
        <w:lastRenderedPageBreak/>
        <w:t>Standard Time) and the red dashed line shows the same information for the replaced allocation</w:t>
      </w:r>
      <w:r w:rsidRPr="25ED4B98">
        <w:t xml:space="preserve"> </w:t>
      </w:r>
      <w:r>
        <w:t>factors.  The gray bars show the total allocation weight by month (top axis, and right axis).  The chart title also indicates that the</w:t>
      </w:r>
      <w:r w:rsidRPr="25ED4B98">
        <w:t xml:space="preserve"> </w:t>
      </w:r>
      <w:r>
        <w:t>allocation factors are based on behind</w:t>
      </w:r>
      <w:r w:rsidRPr="25ED4B98">
        <w:t>-</w:t>
      </w:r>
      <w:r>
        <w:t>the</w:t>
      </w:r>
      <w:r w:rsidRPr="25ED4B98">
        <w:t>-</w:t>
      </w:r>
      <w:r>
        <w:t>meter PV proving an additional 6.4% of the electricity needs in the climate zone since 2010.  The PV values are incremental</w:t>
      </w:r>
      <w:r w:rsidRPr="25ED4B98">
        <w:t xml:space="preserve"> </w:t>
      </w:r>
      <w:r>
        <w:t>to 2010 because that is the year of the</w:t>
      </w:r>
      <w:r w:rsidR="00651754">
        <w:t xml:space="preserve"> utility load data used as the basis for the simulated area loads.  The additional PV output is subtracted from the simulated loads to estimate the adjusted net loads for the climate zone.</w:t>
      </w:r>
      <w:r w:rsidRPr="25ED4B98">
        <w:t xml:space="preserve"> </w:t>
      </w:r>
    </w:p>
    <w:p w14:paraId="311EBADD" w14:textId="712A1413" w:rsidR="00273CE0" w:rsidRDefault="00273CE0" w:rsidP="00273CE0">
      <w:pPr>
        <w:pStyle w:val="Caption"/>
      </w:pPr>
      <w:bookmarkStart w:id="38" w:name="_Ref452192165"/>
      <w:bookmarkStart w:id="39" w:name="_Ref452193067"/>
      <w:r w:rsidRPr="002D70BF">
        <w:t xml:space="preserve">Figure </w:t>
      </w:r>
      <w:r w:rsidR="00813981" w:rsidRPr="008A6BDD">
        <w:fldChar w:fldCharType="begin"/>
      </w:r>
      <w:r w:rsidR="00813981" w:rsidRPr="002D70BF">
        <w:instrText xml:space="preserve"> SEQ Figure \* ARABIC </w:instrText>
      </w:r>
      <w:r w:rsidR="00813981" w:rsidRPr="008A6BDD">
        <w:fldChar w:fldCharType="separate"/>
      </w:r>
      <w:r w:rsidR="001068CE">
        <w:rPr>
          <w:noProof/>
        </w:rPr>
        <w:t>12</w:t>
      </w:r>
      <w:r w:rsidR="00813981" w:rsidRPr="008A6BDD">
        <w:fldChar w:fldCharType="end"/>
      </w:r>
      <w:bookmarkEnd w:id="38"/>
      <w:r w:rsidRPr="63B5EF78">
        <w:t xml:space="preserve">. </w:t>
      </w:r>
      <w:r w:rsidR="00651754">
        <w:t>Updated T&amp;D Allocation Factors for CZ3 in 20</w:t>
      </w:r>
      <w:bookmarkEnd w:id="39"/>
      <w:r w:rsidR="002F7669">
        <w:t>20</w:t>
      </w:r>
    </w:p>
    <w:p w14:paraId="55A4072D" w14:textId="46486A17" w:rsidR="002D70BF" w:rsidRDefault="002D70BF" w:rsidP="00273CE0">
      <w:r>
        <w:rPr>
          <w:noProof/>
        </w:rPr>
        <w:drawing>
          <wp:inline distT="0" distB="0" distL="0" distR="0" wp14:anchorId="4328395C" wp14:editId="792D57A9">
            <wp:extent cx="4615966" cy="2755631"/>
            <wp:effectExtent l="0" t="0" r="0" b="69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4615966" cy="2755631"/>
                    </a:xfrm>
                    <a:prstGeom prst="rect">
                      <a:avLst/>
                    </a:prstGeom>
                  </pic:spPr>
                </pic:pic>
              </a:graphicData>
            </a:graphic>
          </wp:inline>
        </w:drawing>
      </w:r>
    </w:p>
    <w:p w14:paraId="631ACC8B" w14:textId="797268DE" w:rsidR="00651754" w:rsidRDefault="00651754" w:rsidP="00273CE0">
      <w:r>
        <w:fldChar w:fldCharType="begin"/>
      </w:r>
      <w:r>
        <w:instrText xml:space="preserve"> REF _Ref452192722 \h </w:instrText>
      </w:r>
      <w:r>
        <w:fldChar w:fldCharType="separate"/>
      </w:r>
      <w:r w:rsidRPr="00EB036A">
        <w:t xml:space="preserve">Figure </w:t>
      </w:r>
      <w:r>
        <w:rPr>
          <w:noProof/>
        </w:rPr>
        <w:t>13</w:t>
      </w:r>
      <w:r>
        <w:fldChar w:fldCharType="end"/>
      </w:r>
      <w:r>
        <w:t xml:space="preserve"> shows the same information for climate zone 3 in 2030.  In 2030 the behind-the-meter PV is modeled as providing 20.2% of the electricity needs in the climate zone.  This higher PV output</w:t>
      </w:r>
      <w:r w:rsidR="12C13018">
        <w:t xml:space="preserve"> </w:t>
      </w:r>
      <w:r>
        <w:t>results in less need for summer afternoon peak capacity.  This shits the allocation factors to later in the day/evening, as well as shifting more weight to the non-summer months.  Summary charts for all 16 climate zones are presented in the Appendix.</w:t>
      </w:r>
      <w:r w:rsidRPr="12C13018">
        <w:t xml:space="preserve"> </w:t>
      </w:r>
    </w:p>
    <w:p w14:paraId="4F5C27F7" w14:textId="2733CA20" w:rsidR="002D70BF" w:rsidRDefault="00651754" w:rsidP="008A6BDD">
      <w:pPr>
        <w:pStyle w:val="Caption"/>
      </w:pPr>
      <w:bookmarkStart w:id="40" w:name="_Ref452192722"/>
      <w:r w:rsidRPr="00EB036A">
        <w:lastRenderedPageBreak/>
        <w:t xml:space="preserve">Figure </w:t>
      </w:r>
      <w:r w:rsidRPr="008A6BDD">
        <w:fldChar w:fldCharType="begin"/>
      </w:r>
      <w:r w:rsidRPr="00EB036A">
        <w:instrText xml:space="preserve"> SEQ Figure \* ARABIC </w:instrText>
      </w:r>
      <w:r w:rsidRPr="008A6BDD">
        <w:fldChar w:fldCharType="separate"/>
      </w:r>
      <w:r w:rsidR="001068CE">
        <w:rPr>
          <w:noProof/>
        </w:rPr>
        <w:t>13</w:t>
      </w:r>
      <w:r w:rsidRPr="008A6BDD">
        <w:fldChar w:fldCharType="end"/>
      </w:r>
      <w:bookmarkEnd w:id="40"/>
      <w:r w:rsidRPr="00EB036A">
        <w:t xml:space="preserve">. </w:t>
      </w:r>
      <w:r>
        <w:t>Updated T&amp;D Allocation Factors for CZ3 in 2030</w:t>
      </w:r>
    </w:p>
    <w:p w14:paraId="7F59927F" w14:textId="77777777" w:rsidR="002F7669" w:rsidRDefault="002D70BF" w:rsidP="00273CE0">
      <w:r>
        <w:rPr>
          <w:noProof/>
        </w:rPr>
        <w:drawing>
          <wp:inline distT="0" distB="0" distL="0" distR="0" wp14:anchorId="15203B7F" wp14:editId="10972F90">
            <wp:extent cx="4615966" cy="2755631"/>
            <wp:effectExtent l="0" t="0" r="0" b="6985"/>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a:stretch>
                      <a:fillRect/>
                    </a:stretch>
                  </pic:blipFill>
                  <pic:spPr>
                    <a:xfrm>
                      <a:off x="0" y="0"/>
                      <a:ext cx="4615966" cy="2755631"/>
                    </a:xfrm>
                    <a:prstGeom prst="rect">
                      <a:avLst/>
                    </a:prstGeom>
                  </pic:spPr>
                </pic:pic>
              </a:graphicData>
            </a:graphic>
          </wp:inline>
        </w:drawing>
      </w:r>
    </w:p>
    <w:p w14:paraId="7E188736" w14:textId="5BBC01F9" w:rsidR="002F7669" w:rsidRDefault="002F7669" w:rsidP="00273CE0">
      <w:r>
        <w:t>The 2020 allocation factors are used for all years up to and including 2020, and the 2030 shapes are used for 2030 and all subsequent years.  A simple linear interpolation is applied to the interim years.</w:t>
      </w:r>
    </w:p>
    <w:p w14:paraId="56A48B1E" w14:textId="164ECB80" w:rsidR="002F7669" w:rsidRDefault="002F7669" w:rsidP="008A6BDD">
      <w:pPr>
        <w:pStyle w:val="Caption"/>
      </w:pPr>
      <w:r>
        <w:lastRenderedPageBreak/>
        <w:t xml:space="preserve">Table </w:t>
      </w:r>
      <w:fldSimple w:instr=" SEQ Table \* ARABIC ">
        <w:r w:rsidR="006B2392">
          <w:rPr>
            <w:noProof/>
          </w:rPr>
          <w:t>7</w:t>
        </w:r>
      </w:fldSimple>
      <w:r>
        <w:t>:  Percentage of Electricity Demand Met by Behind-the-Meter PV</w:t>
      </w:r>
    </w:p>
    <w:tbl>
      <w:tblPr>
        <w:tblStyle w:val="ListTable3-Accent1"/>
        <w:tblW w:w="0" w:type="auto"/>
        <w:tblLook w:val="04A0" w:firstRow="1" w:lastRow="0" w:firstColumn="1" w:lastColumn="0" w:noHBand="0" w:noVBand="1"/>
      </w:tblPr>
      <w:tblGrid>
        <w:gridCol w:w="1418"/>
        <w:gridCol w:w="961"/>
        <w:gridCol w:w="1244"/>
      </w:tblGrid>
      <w:tr w:rsidR="002F7669" w14:paraId="1FC00400" w14:textId="77777777" w:rsidTr="008A6B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noWrap/>
            <w:hideMark/>
          </w:tcPr>
          <w:p w14:paraId="231BE34C" w14:textId="4E94C237" w:rsidR="002F7669" w:rsidRPr="008A6BDD" w:rsidRDefault="002F7669" w:rsidP="008A6BDD">
            <w:pPr>
              <w:keepNext/>
              <w:keepLines/>
              <w:spacing w:before="0" w:after="0" w:line="240" w:lineRule="auto"/>
              <w:rPr>
                <w:rFonts w:cs="Times New Roman"/>
                <w:sz w:val="22"/>
                <w:szCs w:val="22"/>
              </w:rPr>
            </w:pPr>
            <w:r>
              <w:rPr>
                <w:sz w:val="22"/>
                <w:szCs w:val="22"/>
              </w:rPr>
              <w:t>Climate Zone</w:t>
            </w:r>
          </w:p>
        </w:tc>
        <w:tc>
          <w:tcPr>
            <w:tcW w:w="0" w:type="auto"/>
            <w:noWrap/>
            <w:hideMark/>
          </w:tcPr>
          <w:p w14:paraId="7FEB9A85" w14:textId="7599B3A4" w:rsidR="002F7669" w:rsidRPr="008A6BDD" w:rsidRDefault="002F7669" w:rsidP="008A6BDD">
            <w:pPr>
              <w:keepNext/>
              <w:keepLines/>
              <w:spacing w:before="0"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8A6BDD">
              <w:rPr>
                <w:color w:val="auto"/>
                <w:sz w:val="22"/>
                <w:szCs w:val="22"/>
              </w:rPr>
              <w:t xml:space="preserve">      </w:t>
            </w:r>
            <w:r>
              <w:rPr>
                <w:sz w:val="22"/>
                <w:szCs w:val="22"/>
              </w:rPr>
              <w:t>2020</w:t>
            </w:r>
            <w:r w:rsidRPr="008A6BDD">
              <w:rPr>
                <w:color w:val="auto"/>
                <w:sz w:val="22"/>
                <w:szCs w:val="22"/>
              </w:rPr>
              <w:t xml:space="preserve"> </w:t>
            </w:r>
          </w:p>
        </w:tc>
        <w:tc>
          <w:tcPr>
            <w:tcW w:w="1244" w:type="dxa"/>
            <w:noWrap/>
            <w:hideMark/>
          </w:tcPr>
          <w:p w14:paraId="0C93DE33" w14:textId="48F6194B" w:rsidR="002F7669" w:rsidRPr="008A6BDD" w:rsidRDefault="002F7669" w:rsidP="008A6BDD">
            <w:pPr>
              <w:keepNext/>
              <w:keepLines/>
              <w:spacing w:before="0" w:after="0" w:line="240" w:lineRule="auto"/>
              <w:jc w:val="righ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2030</w:t>
            </w:r>
          </w:p>
        </w:tc>
      </w:tr>
      <w:tr w:rsidR="002F7669" w14:paraId="36286209"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6633B1" w14:textId="77777777" w:rsidR="002F7669" w:rsidRDefault="002F7669" w:rsidP="008A6BDD">
            <w:pPr>
              <w:keepNext/>
              <w:keepLines/>
              <w:spacing w:before="0" w:after="0" w:line="240" w:lineRule="auto"/>
              <w:rPr>
                <w:color w:val="000000"/>
                <w:sz w:val="22"/>
                <w:szCs w:val="22"/>
              </w:rPr>
            </w:pPr>
            <w:r>
              <w:rPr>
                <w:color w:val="000000"/>
                <w:sz w:val="22"/>
                <w:szCs w:val="22"/>
              </w:rPr>
              <w:t>CZ1</w:t>
            </w:r>
          </w:p>
        </w:tc>
        <w:tc>
          <w:tcPr>
            <w:tcW w:w="0" w:type="auto"/>
            <w:noWrap/>
            <w:hideMark/>
          </w:tcPr>
          <w:p w14:paraId="7FD9CFE9"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6.2%</w:t>
            </w:r>
          </w:p>
        </w:tc>
        <w:tc>
          <w:tcPr>
            <w:tcW w:w="1244" w:type="dxa"/>
            <w:noWrap/>
            <w:hideMark/>
          </w:tcPr>
          <w:p w14:paraId="620A09D7"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18.1%</w:t>
            </w:r>
          </w:p>
        </w:tc>
      </w:tr>
      <w:tr w:rsidR="002F7669" w14:paraId="6E7B2AE1"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5C072" w14:textId="77777777" w:rsidR="002F7669" w:rsidRDefault="002F7669" w:rsidP="008A6BDD">
            <w:pPr>
              <w:keepNext/>
              <w:keepLines/>
              <w:spacing w:before="0" w:after="0" w:line="240" w:lineRule="auto"/>
              <w:rPr>
                <w:color w:val="000000"/>
                <w:sz w:val="22"/>
                <w:szCs w:val="22"/>
              </w:rPr>
            </w:pPr>
            <w:r>
              <w:rPr>
                <w:color w:val="000000"/>
                <w:sz w:val="22"/>
                <w:szCs w:val="22"/>
              </w:rPr>
              <w:t>CZ2</w:t>
            </w:r>
          </w:p>
        </w:tc>
        <w:tc>
          <w:tcPr>
            <w:tcW w:w="0" w:type="auto"/>
            <w:noWrap/>
            <w:hideMark/>
          </w:tcPr>
          <w:p w14:paraId="7CF4B2B2"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10.1%</w:t>
            </w:r>
          </w:p>
        </w:tc>
        <w:tc>
          <w:tcPr>
            <w:tcW w:w="1244" w:type="dxa"/>
            <w:noWrap/>
            <w:hideMark/>
          </w:tcPr>
          <w:p w14:paraId="52785C56"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24.2%</w:t>
            </w:r>
          </w:p>
        </w:tc>
      </w:tr>
      <w:tr w:rsidR="002F7669" w14:paraId="0129507C"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28D933" w14:textId="77777777" w:rsidR="002F7669" w:rsidRDefault="002F7669" w:rsidP="008A6BDD">
            <w:pPr>
              <w:keepNext/>
              <w:keepLines/>
              <w:spacing w:before="0" w:after="0" w:line="240" w:lineRule="auto"/>
              <w:rPr>
                <w:color w:val="000000"/>
                <w:sz w:val="22"/>
                <w:szCs w:val="22"/>
              </w:rPr>
            </w:pPr>
            <w:r>
              <w:rPr>
                <w:color w:val="000000"/>
                <w:sz w:val="22"/>
                <w:szCs w:val="22"/>
              </w:rPr>
              <w:t>CZ3</w:t>
            </w:r>
          </w:p>
        </w:tc>
        <w:tc>
          <w:tcPr>
            <w:tcW w:w="0" w:type="auto"/>
            <w:noWrap/>
            <w:hideMark/>
          </w:tcPr>
          <w:p w14:paraId="68213CE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6.4%</w:t>
            </w:r>
          </w:p>
        </w:tc>
        <w:tc>
          <w:tcPr>
            <w:tcW w:w="1244" w:type="dxa"/>
            <w:noWrap/>
            <w:hideMark/>
          </w:tcPr>
          <w:p w14:paraId="5E29B59E"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20.2%</w:t>
            </w:r>
          </w:p>
        </w:tc>
      </w:tr>
      <w:tr w:rsidR="002F7669" w14:paraId="680E9A3C"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014F9C" w14:textId="77777777" w:rsidR="002F7669" w:rsidRDefault="002F7669" w:rsidP="008A6BDD">
            <w:pPr>
              <w:keepNext/>
              <w:keepLines/>
              <w:spacing w:before="0" w:after="0" w:line="240" w:lineRule="auto"/>
              <w:rPr>
                <w:color w:val="000000"/>
                <w:sz w:val="22"/>
                <w:szCs w:val="22"/>
              </w:rPr>
            </w:pPr>
            <w:r>
              <w:rPr>
                <w:color w:val="000000"/>
                <w:sz w:val="22"/>
                <w:szCs w:val="22"/>
              </w:rPr>
              <w:t>CZ4</w:t>
            </w:r>
          </w:p>
        </w:tc>
        <w:tc>
          <w:tcPr>
            <w:tcW w:w="0" w:type="auto"/>
            <w:noWrap/>
            <w:hideMark/>
          </w:tcPr>
          <w:p w14:paraId="3257CDBE"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9.5%</w:t>
            </w:r>
          </w:p>
        </w:tc>
        <w:tc>
          <w:tcPr>
            <w:tcW w:w="1244" w:type="dxa"/>
            <w:noWrap/>
            <w:hideMark/>
          </w:tcPr>
          <w:p w14:paraId="6D7CCE98"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24.3%</w:t>
            </w:r>
          </w:p>
        </w:tc>
      </w:tr>
      <w:tr w:rsidR="002F7669" w14:paraId="2457FEFE"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3FDF85" w14:textId="77777777" w:rsidR="002F7669" w:rsidRDefault="002F7669" w:rsidP="008A6BDD">
            <w:pPr>
              <w:keepNext/>
              <w:keepLines/>
              <w:spacing w:before="0" w:after="0" w:line="240" w:lineRule="auto"/>
              <w:rPr>
                <w:color w:val="000000"/>
                <w:sz w:val="22"/>
                <w:szCs w:val="22"/>
              </w:rPr>
            </w:pPr>
            <w:r>
              <w:rPr>
                <w:color w:val="000000"/>
                <w:sz w:val="22"/>
                <w:szCs w:val="22"/>
              </w:rPr>
              <w:t>CZ5</w:t>
            </w:r>
          </w:p>
        </w:tc>
        <w:tc>
          <w:tcPr>
            <w:tcW w:w="0" w:type="auto"/>
            <w:noWrap/>
            <w:hideMark/>
          </w:tcPr>
          <w:p w14:paraId="146E9E20"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4.9%</w:t>
            </w:r>
          </w:p>
        </w:tc>
        <w:tc>
          <w:tcPr>
            <w:tcW w:w="1244" w:type="dxa"/>
            <w:noWrap/>
            <w:hideMark/>
          </w:tcPr>
          <w:p w14:paraId="72B4FCED"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13.3%</w:t>
            </w:r>
          </w:p>
        </w:tc>
      </w:tr>
      <w:tr w:rsidR="002F7669" w14:paraId="27C64253"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DE2984" w14:textId="77777777" w:rsidR="002F7669" w:rsidRDefault="002F7669" w:rsidP="008A6BDD">
            <w:pPr>
              <w:keepNext/>
              <w:keepLines/>
              <w:spacing w:before="0" w:after="0" w:line="240" w:lineRule="auto"/>
              <w:rPr>
                <w:color w:val="000000"/>
                <w:sz w:val="22"/>
                <w:szCs w:val="22"/>
              </w:rPr>
            </w:pPr>
            <w:r>
              <w:rPr>
                <w:color w:val="000000"/>
                <w:sz w:val="22"/>
                <w:szCs w:val="22"/>
              </w:rPr>
              <w:t>CZ6</w:t>
            </w:r>
          </w:p>
        </w:tc>
        <w:tc>
          <w:tcPr>
            <w:tcW w:w="0" w:type="auto"/>
            <w:noWrap/>
            <w:hideMark/>
          </w:tcPr>
          <w:p w14:paraId="0BEBA597"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2.5%</w:t>
            </w:r>
          </w:p>
        </w:tc>
        <w:tc>
          <w:tcPr>
            <w:tcW w:w="1244" w:type="dxa"/>
            <w:noWrap/>
            <w:hideMark/>
          </w:tcPr>
          <w:p w14:paraId="6A3C5643"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10.3%</w:t>
            </w:r>
          </w:p>
        </w:tc>
      </w:tr>
      <w:tr w:rsidR="002F7669" w14:paraId="1925614C"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B38E6" w14:textId="77777777" w:rsidR="002F7669" w:rsidRDefault="002F7669" w:rsidP="008A6BDD">
            <w:pPr>
              <w:keepNext/>
              <w:keepLines/>
              <w:spacing w:before="0" w:after="0" w:line="240" w:lineRule="auto"/>
              <w:rPr>
                <w:color w:val="000000"/>
                <w:sz w:val="22"/>
                <w:szCs w:val="22"/>
              </w:rPr>
            </w:pPr>
            <w:r>
              <w:rPr>
                <w:color w:val="000000"/>
                <w:sz w:val="22"/>
                <w:szCs w:val="22"/>
              </w:rPr>
              <w:t>CZ7</w:t>
            </w:r>
          </w:p>
        </w:tc>
        <w:tc>
          <w:tcPr>
            <w:tcW w:w="0" w:type="auto"/>
            <w:noWrap/>
            <w:hideMark/>
          </w:tcPr>
          <w:p w14:paraId="09F2CC17"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3.4%</w:t>
            </w:r>
          </w:p>
        </w:tc>
        <w:tc>
          <w:tcPr>
            <w:tcW w:w="1244" w:type="dxa"/>
            <w:noWrap/>
            <w:hideMark/>
          </w:tcPr>
          <w:p w14:paraId="428C3DA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11.5%</w:t>
            </w:r>
          </w:p>
        </w:tc>
      </w:tr>
      <w:tr w:rsidR="002F7669" w14:paraId="76F4B06F"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2543C" w14:textId="77777777" w:rsidR="002F7669" w:rsidRDefault="002F7669" w:rsidP="008A6BDD">
            <w:pPr>
              <w:keepNext/>
              <w:keepLines/>
              <w:spacing w:before="0" w:after="0" w:line="240" w:lineRule="auto"/>
              <w:rPr>
                <w:color w:val="000000"/>
                <w:sz w:val="22"/>
                <w:szCs w:val="22"/>
              </w:rPr>
            </w:pPr>
            <w:r>
              <w:rPr>
                <w:color w:val="000000"/>
                <w:sz w:val="22"/>
                <w:szCs w:val="22"/>
              </w:rPr>
              <w:t>CZ8</w:t>
            </w:r>
          </w:p>
        </w:tc>
        <w:tc>
          <w:tcPr>
            <w:tcW w:w="0" w:type="auto"/>
            <w:noWrap/>
            <w:hideMark/>
          </w:tcPr>
          <w:p w14:paraId="3C366168"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2.3%</w:t>
            </w:r>
          </w:p>
        </w:tc>
        <w:tc>
          <w:tcPr>
            <w:tcW w:w="1244" w:type="dxa"/>
            <w:noWrap/>
            <w:hideMark/>
          </w:tcPr>
          <w:p w14:paraId="0D43A3EF"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10.1%</w:t>
            </w:r>
          </w:p>
        </w:tc>
      </w:tr>
      <w:tr w:rsidR="002F7669" w14:paraId="2AC9A0F3"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217D66" w14:textId="77777777" w:rsidR="002F7669" w:rsidRDefault="002F7669" w:rsidP="008A6BDD">
            <w:pPr>
              <w:keepNext/>
              <w:keepLines/>
              <w:spacing w:before="0" w:after="0" w:line="240" w:lineRule="auto"/>
              <w:rPr>
                <w:color w:val="000000"/>
                <w:sz w:val="22"/>
                <w:szCs w:val="22"/>
              </w:rPr>
            </w:pPr>
            <w:r>
              <w:rPr>
                <w:color w:val="000000"/>
                <w:sz w:val="22"/>
                <w:szCs w:val="22"/>
              </w:rPr>
              <w:t>CZ9</w:t>
            </w:r>
          </w:p>
        </w:tc>
        <w:tc>
          <w:tcPr>
            <w:tcW w:w="0" w:type="auto"/>
            <w:noWrap/>
            <w:hideMark/>
          </w:tcPr>
          <w:p w14:paraId="33D47B43"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2.2%</w:t>
            </w:r>
          </w:p>
        </w:tc>
        <w:tc>
          <w:tcPr>
            <w:tcW w:w="1244" w:type="dxa"/>
            <w:noWrap/>
            <w:hideMark/>
          </w:tcPr>
          <w:p w14:paraId="79897E92"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10.2%</w:t>
            </w:r>
          </w:p>
        </w:tc>
      </w:tr>
      <w:tr w:rsidR="002F7669" w14:paraId="5E856F85"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305223" w14:textId="77777777" w:rsidR="002F7669" w:rsidRDefault="002F7669" w:rsidP="008A6BDD">
            <w:pPr>
              <w:keepNext/>
              <w:keepLines/>
              <w:spacing w:before="0" w:after="0" w:line="240" w:lineRule="auto"/>
              <w:rPr>
                <w:color w:val="000000"/>
                <w:sz w:val="22"/>
                <w:szCs w:val="22"/>
              </w:rPr>
            </w:pPr>
            <w:r>
              <w:rPr>
                <w:color w:val="000000"/>
                <w:sz w:val="22"/>
                <w:szCs w:val="22"/>
              </w:rPr>
              <w:t>CZ10</w:t>
            </w:r>
          </w:p>
        </w:tc>
        <w:tc>
          <w:tcPr>
            <w:tcW w:w="0" w:type="auto"/>
            <w:noWrap/>
            <w:hideMark/>
          </w:tcPr>
          <w:p w14:paraId="1CCBC39C"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3.5%</w:t>
            </w:r>
          </w:p>
        </w:tc>
        <w:tc>
          <w:tcPr>
            <w:tcW w:w="1244" w:type="dxa"/>
            <w:noWrap/>
            <w:hideMark/>
          </w:tcPr>
          <w:p w14:paraId="501C08AB"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11.8%</w:t>
            </w:r>
          </w:p>
        </w:tc>
      </w:tr>
      <w:tr w:rsidR="002F7669" w14:paraId="6F1B8852"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434A2" w14:textId="77777777" w:rsidR="002F7669" w:rsidRDefault="002F7669" w:rsidP="008A6BDD">
            <w:pPr>
              <w:keepNext/>
              <w:keepLines/>
              <w:spacing w:before="0" w:after="0" w:line="240" w:lineRule="auto"/>
              <w:rPr>
                <w:color w:val="000000"/>
                <w:sz w:val="22"/>
                <w:szCs w:val="22"/>
              </w:rPr>
            </w:pPr>
            <w:r>
              <w:rPr>
                <w:color w:val="000000"/>
                <w:sz w:val="22"/>
                <w:szCs w:val="22"/>
              </w:rPr>
              <w:t>CZ11</w:t>
            </w:r>
          </w:p>
        </w:tc>
        <w:tc>
          <w:tcPr>
            <w:tcW w:w="0" w:type="auto"/>
            <w:noWrap/>
            <w:hideMark/>
          </w:tcPr>
          <w:p w14:paraId="6233F33B"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9.2%</w:t>
            </w:r>
          </w:p>
        </w:tc>
        <w:tc>
          <w:tcPr>
            <w:tcW w:w="1244" w:type="dxa"/>
            <w:noWrap/>
            <w:hideMark/>
          </w:tcPr>
          <w:p w14:paraId="7E070A1A"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23.6%</w:t>
            </w:r>
          </w:p>
        </w:tc>
      </w:tr>
      <w:tr w:rsidR="002F7669" w14:paraId="6B0FD36E"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499BD1" w14:textId="77777777" w:rsidR="002F7669" w:rsidRDefault="002F7669" w:rsidP="008A6BDD">
            <w:pPr>
              <w:keepNext/>
              <w:keepLines/>
              <w:spacing w:before="0" w:after="0" w:line="240" w:lineRule="auto"/>
              <w:rPr>
                <w:color w:val="000000"/>
                <w:sz w:val="22"/>
                <w:szCs w:val="22"/>
              </w:rPr>
            </w:pPr>
            <w:r>
              <w:rPr>
                <w:color w:val="000000"/>
                <w:sz w:val="22"/>
                <w:szCs w:val="22"/>
              </w:rPr>
              <w:t>CZ12</w:t>
            </w:r>
          </w:p>
        </w:tc>
        <w:tc>
          <w:tcPr>
            <w:tcW w:w="0" w:type="auto"/>
            <w:noWrap/>
            <w:hideMark/>
          </w:tcPr>
          <w:p w14:paraId="38EB554D"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5.1%</w:t>
            </w:r>
          </w:p>
        </w:tc>
        <w:tc>
          <w:tcPr>
            <w:tcW w:w="1244" w:type="dxa"/>
            <w:noWrap/>
            <w:hideMark/>
          </w:tcPr>
          <w:p w14:paraId="3734438A"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13.0%</w:t>
            </w:r>
          </w:p>
        </w:tc>
      </w:tr>
      <w:tr w:rsidR="002F7669" w14:paraId="21DDF84F"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F1C0B" w14:textId="77777777" w:rsidR="002F7669" w:rsidRDefault="002F7669" w:rsidP="008A6BDD">
            <w:pPr>
              <w:keepNext/>
              <w:keepLines/>
              <w:spacing w:before="0" w:after="0" w:line="240" w:lineRule="auto"/>
              <w:rPr>
                <w:color w:val="000000"/>
                <w:sz w:val="22"/>
                <w:szCs w:val="22"/>
              </w:rPr>
            </w:pPr>
            <w:r>
              <w:rPr>
                <w:color w:val="000000"/>
                <w:sz w:val="22"/>
                <w:szCs w:val="22"/>
              </w:rPr>
              <w:t>CZ13</w:t>
            </w:r>
          </w:p>
        </w:tc>
        <w:tc>
          <w:tcPr>
            <w:tcW w:w="0" w:type="auto"/>
            <w:noWrap/>
            <w:hideMark/>
          </w:tcPr>
          <w:p w14:paraId="7F53C036"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8.5%</w:t>
            </w:r>
          </w:p>
        </w:tc>
        <w:tc>
          <w:tcPr>
            <w:tcW w:w="1244" w:type="dxa"/>
            <w:noWrap/>
            <w:hideMark/>
          </w:tcPr>
          <w:p w14:paraId="4B01DF3D"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22.9%</w:t>
            </w:r>
          </w:p>
        </w:tc>
      </w:tr>
      <w:tr w:rsidR="002F7669" w14:paraId="381888E5"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BBDAC" w14:textId="77777777" w:rsidR="002F7669" w:rsidRDefault="002F7669" w:rsidP="008A6BDD">
            <w:pPr>
              <w:keepNext/>
              <w:keepLines/>
              <w:spacing w:before="0" w:after="0" w:line="240" w:lineRule="auto"/>
              <w:rPr>
                <w:color w:val="000000"/>
                <w:sz w:val="22"/>
                <w:szCs w:val="22"/>
              </w:rPr>
            </w:pPr>
            <w:r>
              <w:rPr>
                <w:color w:val="000000"/>
                <w:sz w:val="22"/>
                <w:szCs w:val="22"/>
              </w:rPr>
              <w:t>CZ14</w:t>
            </w:r>
          </w:p>
        </w:tc>
        <w:tc>
          <w:tcPr>
            <w:tcW w:w="0" w:type="auto"/>
            <w:noWrap/>
            <w:hideMark/>
          </w:tcPr>
          <w:p w14:paraId="1AF85A8F"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w:t>
            </w:r>
          </w:p>
        </w:tc>
        <w:tc>
          <w:tcPr>
            <w:tcW w:w="1244" w:type="dxa"/>
            <w:noWrap/>
            <w:hideMark/>
          </w:tcPr>
          <w:p w14:paraId="44B6E914" w14:textId="77777777" w:rsidR="002F7669" w:rsidRDefault="002F7669" w:rsidP="008A6BD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14.0%</w:t>
            </w:r>
          </w:p>
        </w:tc>
      </w:tr>
      <w:tr w:rsidR="002F7669" w14:paraId="5A6944E0" w14:textId="77777777" w:rsidTr="008A6B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4890DC" w14:textId="77777777" w:rsidR="002F7669" w:rsidRDefault="002F7669" w:rsidP="008A6BDD">
            <w:pPr>
              <w:keepNext/>
              <w:keepLines/>
              <w:spacing w:before="0" w:after="0" w:line="240" w:lineRule="auto"/>
              <w:rPr>
                <w:color w:val="000000"/>
                <w:sz w:val="22"/>
                <w:szCs w:val="22"/>
              </w:rPr>
            </w:pPr>
            <w:r>
              <w:rPr>
                <w:color w:val="000000"/>
                <w:sz w:val="22"/>
                <w:szCs w:val="22"/>
              </w:rPr>
              <w:t>CZ15</w:t>
            </w:r>
          </w:p>
        </w:tc>
        <w:tc>
          <w:tcPr>
            <w:tcW w:w="0" w:type="auto"/>
            <w:noWrap/>
            <w:hideMark/>
          </w:tcPr>
          <w:p w14:paraId="1AEA0F55"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3.2%</w:t>
            </w:r>
          </w:p>
        </w:tc>
        <w:tc>
          <w:tcPr>
            <w:tcW w:w="1244" w:type="dxa"/>
            <w:noWrap/>
            <w:hideMark/>
          </w:tcPr>
          <w:p w14:paraId="205AE754" w14:textId="77777777" w:rsidR="002F7669" w:rsidRDefault="002F7669" w:rsidP="008A6BD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11.7%</w:t>
            </w:r>
          </w:p>
        </w:tc>
      </w:tr>
      <w:tr w:rsidR="002F7669" w14:paraId="307D1E4B" w14:textId="77777777" w:rsidTr="008A6BDD">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42A88" w14:textId="77777777" w:rsidR="002F7669" w:rsidRDefault="002F7669" w:rsidP="008A6BDD">
            <w:pPr>
              <w:keepLines/>
              <w:spacing w:before="0" w:after="0" w:line="240" w:lineRule="auto"/>
              <w:rPr>
                <w:color w:val="000000"/>
                <w:sz w:val="22"/>
                <w:szCs w:val="22"/>
              </w:rPr>
            </w:pPr>
            <w:r>
              <w:rPr>
                <w:color w:val="000000"/>
                <w:sz w:val="22"/>
                <w:szCs w:val="22"/>
              </w:rPr>
              <w:t>CZ16</w:t>
            </w:r>
          </w:p>
        </w:tc>
        <w:tc>
          <w:tcPr>
            <w:tcW w:w="0" w:type="auto"/>
            <w:noWrap/>
            <w:hideMark/>
          </w:tcPr>
          <w:p w14:paraId="50605F20" w14:textId="77777777" w:rsidR="002F7669" w:rsidRDefault="002F7669" w:rsidP="008A6BD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7.0%</w:t>
            </w:r>
          </w:p>
        </w:tc>
        <w:tc>
          <w:tcPr>
            <w:tcW w:w="1244" w:type="dxa"/>
            <w:noWrap/>
            <w:hideMark/>
          </w:tcPr>
          <w:p w14:paraId="1C2E1F8D" w14:textId="77777777" w:rsidR="002F7669" w:rsidRDefault="002F7669" w:rsidP="008A6BD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21.5%</w:t>
            </w:r>
          </w:p>
        </w:tc>
      </w:tr>
    </w:tbl>
    <w:p w14:paraId="02F37500" w14:textId="59FF7B21" w:rsidR="00273CE0" w:rsidRDefault="002F7669" w:rsidP="00273CE0">
      <w:r w:rsidDel="002D70BF">
        <w:rPr>
          <w:noProof/>
        </w:rPr>
        <w:t xml:space="preserve"> </w:t>
      </w:r>
    </w:p>
    <w:p w14:paraId="1D98A87C" w14:textId="32BE7B4C" w:rsidR="00115F87" w:rsidRDefault="008B5C2F">
      <w:pPr>
        <w:pStyle w:val="Heading2"/>
      </w:pPr>
      <w:bookmarkStart w:id="41" w:name="_Toc493516873"/>
      <w:r>
        <w:t>Monetized Carbon (Cap &amp; Trade)</w:t>
      </w:r>
      <w:bookmarkEnd w:id="41"/>
    </w:p>
    <w:p w14:paraId="4AC04457" w14:textId="3A9009E8" w:rsidR="00115F87" w:rsidRDefault="008B5C2F" w:rsidP="005F5AE5">
      <w:r>
        <w:t xml:space="preserve">The monetized cost of carbon represents the monetary cost that the utility must pay to purchase or generate fossil energy. While this value is currently embedded in energy prices in the CAISO market, we separate this value for avoided cost purposes. This component </w:t>
      </w:r>
      <w:r w:rsidR="00A701FB">
        <w:t xml:space="preserve">has been updated to use the 2015 IEPR Mid-Case forecast values.  The IEPR forecast extends to </w:t>
      </w:r>
      <w:r w:rsidR="7F0F2521">
        <w:t>2030</w:t>
      </w:r>
      <w:r w:rsidR="00A701FB">
        <w:t>.  For later years, the forecast is extrapolated using a linear trend of the values in the final five years of the IEPR forecast.</w:t>
      </w:r>
      <w:r w:rsidR="00115F87">
        <w:t xml:space="preserve">  This update </w:t>
      </w:r>
      <w:r w:rsidR="00A701FB">
        <w:t xml:space="preserve">replaces </w:t>
      </w:r>
      <w:r w:rsidR="00115F87">
        <w:t xml:space="preserve">a forecast developed by Synapse </w:t>
      </w:r>
      <w:r w:rsidR="00115F87" w:rsidRPr="00226A94">
        <w:t xml:space="preserve">Consulting </w:t>
      </w:r>
      <w:r w:rsidR="00226A94" w:rsidRPr="00226A94">
        <w:t xml:space="preserve">in </w:t>
      </w:r>
      <w:r w:rsidR="00A701FB">
        <w:t xml:space="preserve">2008.  </w:t>
      </w:r>
      <w:r w:rsidR="00115F87">
        <w:fldChar w:fldCharType="begin"/>
      </w:r>
      <w:r w:rsidR="00115F87">
        <w:instrText xml:space="preserve"> REF _Ref278722571 \h </w:instrText>
      </w:r>
      <w:r w:rsidR="005F5AE5">
        <w:instrText xml:space="preserve"> \* MERGEFORMAT </w:instrText>
      </w:r>
      <w:r w:rsidR="00115F87">
        <w:fldChar w:fldCharType="separate"/>
      </w:r>
      <w:r w:rsidR="00051934" w:rsidRPr="28586219">
        <w:t xml:space="preserve">Figure </w:t>
      </w:r>
      <w:r w:rsidR="00051934">
        <w:rPr>
          <w:noProof/>
        </w:rPr>
        <w:t>14</w:t>
      </w:r>
      <w:r w:rsidR="00115F87">
        <w:fldChar w:fldCharType="end"/>
      </w:r>
      <w:r w:rsidR="00115F87">
        <w:t xml:space="preserve"> shows the </w:t>
      </w:r>
      <w:r w:rsidR="00A701FB">
        <w:t xml:space="preserve">updated CO2 </w:t>
      </w:r>
      <w:r w:rsidR="00115F87">
        <w:t>price forecasts.</w:t>
      </w:r>
    </w:p>
    <w:p w14:paraId="4D0A9B6A" w14:textId="1BB6EF9A" w:rsidR="00115F87" w:rsidRDefault="00115F87" w:rsidP="00087461">
      <w:pPr>
        <w:pStyle w:val="Caption"/>
      </w:pPr>
      <w:bookmarkStart w:id="42" w:name="_Ref278722571"/>
      <w:r w:rsidRPr="28586219">
        <w:lastRenderedPageBreak/>
        <w:t xml:space="preserve">Figure </w:t>
      </w:r>
      <w:r w:rsidR="00813981" w:rsidRPr="008A6BDD">
        <w:fldChar w:fldCharType="begin"/>
      </w:r>
      <w:r w:rsidR="00813981">
        <w:instrText xml:space="preserve"> SEQ Figure \* ARABIC </w:instrText>
      </w:r>
      <w:r w:rsidR="00813981" w:rsidRPr="008A6BDD">
        <w:fldChar w:fldCharType="separate"/>
      </w:r>
      <w:r w:rsidR="001068CE">
        <w:rPr>
          <w:noProof/>
        </w:rPr>
        <w:t>14</w:t>
      </w:r>
      <w:r w:rsidR="00813981" w:rsidRPr="008A6BDD">
        <w:fldChar w:fldCharType="end"/>
      </w:r>
      <w:bookmarkEnd w:id="42"/>
      <w:r w:rsidRPr="28586219">
        <w:t>. The CO2 price series embedded in the avoided cost values</w:t>
      </w:r>
    </w:p>
    <w:p w14:paraId="16E56FE8" w14:textId="69A20E07" w:rsidR="2528ADE2" w:rsidRDefault="2528ADE2">
      <w:r>
        <w:rPr>
          <w:noProof/>
        </w:rPr>
        <w:drawing>
          <wp:inline distT="0" distB="0" distL="0" distR="0" wp14:anchorId="22E74ACB" wp14:editId="59C90A1D">
            <wp:extent cx="5114925" cy="2990850"/>
            <wp:effectExtent l="0" t="0" r="0" b="0"/>
            <wp:docPr id="1948358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114925" cy="2990850"/>
                    </a:xfrm>
                    <a:prstGeom prst="rect">
                      <a:avLst/>
                    </a:prstGeom>
                  </pic:spPr>
                </pic:pic>
              </a:graphicData>
            </a:graphic>
          </wp:inline>
        </w:drawing>
      </w:r>
    </w:p>
    <w:p w14:paraId="0D9C7A6C" w14:textId="632AFD8F" w:rsidR="001A48A4" w:rsidRDefault="001A48A4" w:rsidP="000145D0">
      <w:r>
        <w:t>In the prior avoided cost model, the avoided cost of energy was forecast without the cost of CO2.  The CO2 costs were therefore an additional cost item and added to the total avoided cost forecast.  In this update, the cost of CO2 is included in the cost of energy because of the established Cap and Trade market, and the total avoided cost of energy is decomposed into an energy avoided cost and an environmental cost</w:t>
      </w:r>
      <w:r w:rsidR="0033103F">
        <w:rPr>
          <w:rStyle w:val="FootnoteReference"/>
        </w:rPr>
        <w:footnoteReference w:id="13"/>
      </w:r>
      <w:r w:rsidRPr="42C633DC">
        <w:t xml:space="preserve">.  </w:t>
      </w:r>
    </w:p>
    <w:p w14:paraId="26193B78" w14:textId="5836504E" w:rsidR="00953720" w:rsidRDefault="00115F87" w:rsidP="000145D0">
      <w:r>
        <w:t xml:space="preserve">The marginal rate of carbon emissions </w:t>
      </w:r>
      <w:r w:rsidR="005F5AE5">
        <w:t xml:space="preserve">is calculated </w:t>
      </w:r>
      <w:r w:rsidR="001A48A4">
        <w:t xml:space="preserve">using </w:t>
      </w:r>
      <w:r w:rsidR="00953720">
        <w:t xml:space="preserve">a slight modification to the prior avoided cost model method.  </w:t>
      </w:r>
      <w:proofErr w:type="gramStart"/>
      <w:r>
        <w:t>Assuming that</w:t>
      </w:r>
      <w:proofErr w:type="gramEnd"/>
      <w:r>
        <w:t xml:space="preserve"> natural gas is the marginal fuel in all hours, the hourly emissions rate of the marginal generator is calculated based on the day-ahead market price curve</w:t>
      </w:r>
      <w:r w:rsidR="00953720">
        <w:t xml:space="preserve"> (with the assumption that the price curve also includes the cost of CO2)</w:t>
      </w:r>
      <w:r w:rsidRPr="25ED4B98">
        <w:t xml:space="preserve">.  </w:t>
      </w:r>
    </w:p>
    <w:p w14:paraId="2F0E0B74" w14:textId="6797E151" w:rsidR="00953720" w:rsidRDefault="00953720" w:rsidP="008A6BDD">
      <w:pPr>
        <w:ind w:left="720"/>
      </w:pPr>
      <w:proofErr w:type="spellStart"/>
      <w:r w:rsidRPr="7A3095AD">
        <w:lastRenderedPageBreak/>
        <w:t>HeatRate</w:t>
      </w:r>
      <w:proofErr w:type="spellEnd"/>
      <w:r w:rsidRPr="7A3095AD">
        <w:t xml:space="preserve">[h] = (MP[h] </w:t>
      </w:r>
      <w:r w:rsidRPr="25ED4B98">
        <w:t>–</w:t>
      </w:r>
      <w:r w:rsidRPr="7A3095AD">
        <w:t xml:space="preserve"> VOM) / (</w:t>
      </w:r>
      <w:proofErr w:type="spellStart"/>
      <w:r w:rsidRPr="7A3095AD">
        <w:t>GasPrice</w:t>
      </w:r>
      <w:proofErr w:type="spellEnd"/>
      <w:r w:rsidRPr="7A3095AD">
        <w:t xml:space="preserve"> + EF * CO2Cost)</w:t>
      </w:r>
    </w:p>
    <w:p w14:paraId="48ABC68E" w14:textId="5681EAEE" w:rsidR="00953720" w:rsidRDefault="00953720" w:rsidP="008A6BDD">
      <w:pPr>
        <w:pStyle w:val="NoSpacing"/>
      </w:pPr>
      <w:r>
        <w:t>Where</w:t>
      </w:r>
    </w:p>
    <w:p w14:paraId="3B98FCD6" w14:textId="4D53A718" w:rsidR="00953720" w:rsidRDefault="00953720" w:rsidP="008A6BDD">
      <w:pPr>
        <w:pStyle w:val="NoSpacing"/>
        <w:ind w:left="720"/>
      </w:pPr>
      <w:r>
        <w:t>MP is the hourly market price of energy (including cap and trade costs)</w:t>
      </w:r>
    </w:p>
    <w:p w14:paraId="1D3E32D7" w14:textId="2A3D209D" w:rsidR="00953720" w:rsidRDefault="00A05C18" w:rsidP="008A6BDD">
      <w:pPr>
        <w:pStyle w:val="NoSpacing"/>
        <w:ind w:left="720"/>
      </w:pPr>
      <w:r>
        <w:t>VOM is the variable O&amp;M cost for a natural gas plant</w:t>
      </w:r>
    </w:p>
    <w:p w14:paraId="0619012E" w14:textId="1ED1F94E" w:rsidR="00A05C18" w:rsidRDefault="00A05C18" w:rsidP="008A6BDD">
      <w:pPr>
        <w:pStyle w:val="NoSpacing"/>
        <w:ind w:left="720"/>
      </w:pPr>
      <w:proofErr w:type="spellStart"/>
      <w:r>
        <w:t>GasPrice</w:t>
      </w:r>
      <w:proofErr w:type="spellEnd"/>
      <w:r>
        <w:t xml:space="preserve"> is the cost of natural gas delivered to an electric generator</w:t>
      </w:r>
    </w:p>
    <w:p w14:paraId="7855D609" w14:textId="75BEA758" w:rsidR="00A05C18" w:rsidRDefault="00A05C18" w:rsidP="008A6BDD">
      <w:pPr>
        <w:pStyle w:val="NoSpacing"/>
        <w:ind w:left="720"/>
      </w:pPr>
      <w:r>
        <w:t>CO2Cost is the $/ton cost of CO2</w:t>
      </w:r>
    </w:p>
    <w:p w14:paraId="2E26CA77" w14:textId="283B5896" w:rsidR="00A05C18" w:rsidRDefault="00A05C18" w:rsidP="008A6BDD">
      <w:pPr>
        <w:pStyle w:val="NoSpacing"/>
        <w:ind w:left="720"/>
      </w:pPr>
      <w:r>
        <w:t>EF is the emission factor for tons of CO2 per MMBTU of natural gas</w:t>
      </w:r>
    </w:p>
    <w:p w14:paraId="7775DB92" w14:textId="3108BAC2" w:rsidR="00115F87" w:rsidRDefault="00115F87" w:rsidP="000145D0">
      <w:r>
        <w:t>The link between higher market prices and higher emissions rates is intuitive: higher market prices enable lower-efficiency generators to operate, resulting in increased rates of emissions at the margin.  Of course, this relationship holds for a reasonable range of prices but breaks down when prices are extremely high or low.  For this reason, the avoided cost methodology bounds the maximum and minimum emissions rates based on the range of heat rates of gas turbine technologies.  The maximum and minimum emissions rates are bounded by a range of heat rates for proxy natural gas plants shown in</w:t>
      </w:r>
      <w:r w:rsidR="00A05C18">
        <w:t xml:space="preserve"> </w:t>
      </w:r>
      <w:r w:rsidR="00A05C18">
        <w:fldChar w:fldCharType="begin"/>
      </w:r>
      <w:r w:rsidR="00A05C18">
        <w:instrText xml:space="preserve"> REF _Ref273368045 \h </w:instrText>
      </w:r>
      <w:r w:rsidR="00A05C18">
        <w:fldChar w:fldCharType="separate"/>
      </w:r>
      <w:r w:rsidR="0033103F">
        <w:t xml:space="preserve">Table </w:t>
      </w:r>
      <w:r w:rsidR="0033103F">
        <w:rPr>
          <w:noProof/>
        </w:rPr>
        <w:t>7</w:t>
      </w:r>
      <w:r w:rsidR="00A05C18">
        <w:fldChar w:fldCharType="end"/>
      </w:r>
      <w:r>
        <w:t xml:space="preserve">; the hourly emissions rates derived from this process are shown in </w:t>
      </w:r>
      <w:r>
        <w:fldChar w:fldCharType="begin"/>
      </w:r>
      <w:r>
        <w:instrText xml:space="preserve"> REF _Ref277250352 \h </w:instrText>
      </w:r>
      <w:r>
        <w:fldChar w:fldCharType="separate"/>
      </w:r>
      <w:r w:rsidR="0033103F">
        <w:t xml:space="preserve">Figure </w:t>
      </w:r>
      <w:r w:rsidR="0033103F">
        <w:rPr>
          <w:noProof/>
        </w:rPr>
        <w:t>14</w:t>
      </w:r>
      <w:r>
        <w:fldChar w:fldCharType="end"/>
      </w:r>
      <w:r>
        <w:t>.</w:t>
      </w:r>
      <w:r w:rsidR="0033103F">
        <w:t xml:space="preserve">  The emission rate bounds are unchanged from the prior avoided cost model.</w:t>
      </w:r>
    </w:p>
    <w:p w14:paraId="7F756752" w14:textId="305A3B02" w:rsidR="00115F87" w:rsidRDefault="00115F87" w:rsidP="00087461">
      <w:pPr>
        <w:pStyle w:val="Caption"/>
      </w:pPr>
      <w:bookmarkStart w:id="43" w:name="_Ref273368045"/>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8</w:t>
      </w:r>
      <w:r w:rsidR="00813981" w:rsidRPr="008A6BDD">
        <w:fldChar w:fldCharType="end"/>
      </w:r>
      <w:bookmarkEnd w:id="43"/>
      <w:r>
        <w:t>. Bounds on electric sector carbon emissions.</w:t>
      </w:r>
    </w:p>
    <w:tbl>
      <w:tblPr>
        <w:tblStyle w:val="ListTable3-Accent1"/>
        <w:tblW w:w="0" w:type="auto"/>
        <w:tblLook w:val="04A0" w:firstRow="1" w:lastRow="0" w:firstColumn="1" w:lastColumn="0" w:noHBand="0" w:noVBand="1"/>
      </w:tblPr>
      <w:tblGrid>
        <w:gridCol w:w="2771"/>
        <w:gridCol w:w="2606"/>
        <w:gridCol w:w="2646"/>
      </w:tblGrid>
      <w:tr w:rsidR="00115F87" w:rsidRPr="00D05611" w14:paraId="3FA0304C"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609BB96" w14:textId="77777777" w:rsidR="00115F87" w:rsidRPr="008A6BDD" w:rsidRDefault="00115F87" w:rsidP="008A6BDD">
            <w:pPr>
              <w:spacing w:before="0" w:after="0" w:line="240" w:lineRule="auto"/>
              <w:rPr>
                <w:sz w:val="22"/>
              </w:rPr>
            </w:pPr>
          </w:p>
        </w:tc>
        <w:tc>
          <w:tcPr>
            <w:tcW w:w="0" w:type="auto"/>
          </w:tcPr>
          <w:p w14:paraId="4E6E3AA4"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Low Efficiency Plant</w:t>
            </w:r>
          </w:p>
        </w:tc>
        <w:tc>
          <w:tcPr>
            <w:tcW w:w="0" w:type="auto"/>
          </w:tcPr>
          <w:p w14:paraId="75CC748D"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High Efficiency Plant</w:t>
            </w:r>
          </w:p>
        </w:tc>
      </w:tr>
      <w:tr w:rsidR="00115F87" w:rsidRPr="00D05611" w14:paraId="605AE9D5" w14:textId="77777777" w:rsidTr="008A6BDD">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tcPr>
          <w:p w14:paraId="7F699CD0" w14:textId="77777777" w:rsidR="00115F87" w:rsidRPr="008A6BDD" w:rsidRDefault="00115F87" w:rsidP="008A6BDD">
            <w:pPr>
              <w:spacing w:before="0" w:after="0" w:line="240" w:lineRule="auto"/>
              <w:rPr>
                <w:sz w:val="22"/>
              </w:rPr>
            </w:pPr>
            <w:r w:rsidRPr="008A6BDD">
              <w:rPr>
                <w:sz w:val="22"/>
                <w:szCs w:val="22"/>
              </w:rPr>
              <w:t>Heat Rate (Btu/kWh)</w:t>
            </w:r>
          </w:p>
        </w:tc>
        <w:tc>
          <w:tcPr>
            <w:tcW w:w="0" w:type="auto"/>
          </w:tcPr>
          <w:p w14:paraId="11B1C32A"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12,500</w:t>
            </w:r>
          </w:p>
        </w:tc>
        <w:tc>
          <w:tcPr>
            <w:tcW w:w="0" w:type="auto"/>
          </w:tcPr>
          <w:p w14:paraId="6B98CF70"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6,900</w:t>
            </w:r>
          </w:p>
        </w:tc>
      </w:tr>
      <w:tr w:rsidR="00115F87" w:rsidRPr="00D05611" w14:paraId="7DA29050" w14:textId="77777777" w:rsidTr="008A6BDD">
        <w:trPr>
          <w:trHeight w:val="368"/>
        </w:trPr>
        <w:tc>
          <w:tcPr>
            <w:cnfStyle w:val="001000000000" w:firstRow="0" w:lastRow="0" w:firstColumn="1" w:lastColumn="0" w:oddVBand="0" w:evenVBand="0" w:oddHBand="0" w:evenHBand="0" w:firstRowFirstColumn="0" w:firstRowLastColumn="0" w:lastRowFirstColumn="0" w:lastRowLastColumn="0"/>
            <w:tcW w:w="0" w:type="auto"/>
          </w:tcPr>
          <w:p w14:paraId="1AC96AD2" w14:textId="77777777" w:rsidR="00115F87" w:rsidRPr="008A6BDD" w:rsidRDefault="00115F87" w:rsidP="008A6BDD">
            <w:pPr>
              <w:spacing w:before="0" w:after="0" w:line="240" w:lineRule="auto"/>
              <w:rPr>
                <w:sz w:val="22"/>
              </w:rPr>
            </w:pPr>
            <w:r w:rsidRPr="008A6BDD">
              <w:rPr>
                <w:sz w:val="22"/>
                <w:szCs w:val="22"/>
              </w:rPr>
              <w:t>Emissions Rate (tons/MWh)</w:t>
            </w:r>
          </w:p>
        </w:tc>
        <w:tc>
          <w:tcPr>
            <w:tcW w:w="0" w:type="auto"/>
          </w:tcPr>
          <w:p w14:paraId="3C13B6FB"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0.731</w:t>
            </w:r>
          </w:p>
        </w:tc>
        <w:tc>
          <w:tcPr>
            <w:tcW w:w="0" w:type="auto"/>
          </w:tcPr>
          <w:p w14:paraId="5B5F99F7"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0.404</w:t>
            </w:r>
          </w:p>
        </w:tc>
      </w:tr>
    </w:tbl>
    <w:p w14:paraId="6087495E" w14:textId="04751BFC" w:rsidR="00115F87" w:rsidRPr="00B1567E" w:rsidRDefault="7AED0FB8" w:rsidP="000145D0">
      <w:bookmarkStart w:id="44" w:name="_Toc271574661"/>
      <w:bookmarkStart w:id="45" w:name="_Toc271575310"/>
      <w:r w:rsidRPr="7AED0FB8">
        <w:t xml:space="preserve">Additionally, if the implied heat rate is calculated to be at or below zero, </w:t>
      </w:r>
      <w:r w:rsidR="4B8DB956" w:rsidRPr="7AED0FB8">
        <w:t xml:space="preserve">it is then assumed that the </w:t>
      </w:r>
      <w:r w:rsidR="7ECC5941" w:rsidRPr="7AED0FB8">
        <w:t>system is in a period of overgeneration and therefore the marginal emission factor is correspondingly zero as well</w:t>
      </w:r>
      <w:r w:rsidR="02BCABCC" w:rsidRPr="7AED0FB8">
        <w:t>. A snapshot comparison between implied market heat rate and implied emission ra</w:t>
      </w:r>
      <w:r w:rsidR="69271397" w:rsidRPr="7AED0FB8">
        <w:t>te is shown below.</w:t>
      </w:r>
    </w:p>
    <w:p w14:paraId="17DFA1BE" w14:textId="2CB22416" w:rsidR="716F2FE0" w:rsidRDefault="716F2FE0"/>
    <w:p w14:paraId="6A85642B" w14:textId="705E1AE7" w:rsidR="716F2FE0" w:rsidRDefault="716F2FE0"/>
    <w:p w14:paraId="4116822D" w14:textId="662370B4" w:rsidR="003A245B" w:rsidRPr="003A245B" w:rsidRDefault="00115F87" w:rsidP="003A245B">
      <w:pPr>
        <w:pStyle w:val="Caption"/>
        <w:rPr>
          <w:noProof/>
        </w:rPr>
      </w:pPr>
      <w:bookmarkStart w:id="46" w:name="_Ref277250352"/>
      <w:r w:rsidRPr="48352AEA">
        <w:lastRenderedPageBreak/>
        <w:t xml:space="preserve">Figure </w:t>
      </w:r>
      <w:r w:rsidR="00813981" w:rsidRPr="008A6BDD">
        <w:fldChar w:fldCharType="begin"/>
      </w:r>
      <w:r w:rsidR="00813981">
        <w:instrText xml:space="preserve"> SEQ Figure \* ARABIC </w:instrText>
      </w:r>
      <w:r w:rsidR="00813981" w:rsidRPr="008A6BDD">
        <w:fldChar w:fldCharType="separate"/>
      </w:r>
      <w:r w:rsidR="001068CE">
        <w:rPr>
          <w:noProof/>
        </w:rPr>
        <w:t>15</w:t>
      </w:r>
      <w:r w:rsidR="00813981" w:rsidRPr="008A6BDD">
        <w:fldChar w:fldCharType="end"/>
      </w:r>
      <w:bookmarkEnd w:id="46"/>
      <w:r w:rsidRPr="6F9B0FE0">
        <w:t>.</w:t>
      </w:r>
      <w:r w:rsidRPr="48352AEA">
        <w:rPr>
          <w:noProof/>
        </w:rPr>
        <w:t xml:space="preserve"> Hourly emissions rates derived from market prices (hourly values shown in descending order)</w:t>
      </w:r>
    </w:p>
    <w:p w14:paraId="09251C2B" w14:textId="77E90E7D" w:rsidR="64E1E670" w:rsidRDefault="64E1E670">
      <w:r>
        <w:rPr>
          <w:noProof/>
        </w:rPr>
        <w:drawing>
          <wp:inline distT="0" distB="0" distL="0" distR="0" wp14:anchorId="04932193" wp14:editId="327E12F1">
            <wp:extent cx="5943600" cy="3362325"/>
            <wp:effectExtent l="0" t="0" r="0" b="0"/>
            <wp:docPr id="2166386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3401503B" w14:textId="196FAB92" w:rsidR="00115F87" w:rsidRDefault="00115F87">
      <w:pPr>
        <w:pStyle w:val="Heading2"/>
      </w:pPr>
      <w:bookmarkStart w:id="47" w:name="_Toc493516874"/>
      <w:r>
        <w:t xml:space="preserve">Avoided </w:t>
      </w:r>
      <w:bookmarkEnd w:id="44"/>
      <w:bookmarkEnd w:id="45"/>
      <w:r w:rsidR="008B5C2F">
        <w:t>RPS Cost</w:t>
      </w:r>
      <w:bookmarkEnd w:id="47"/>
    </w:p>
    <w:p w14:paraId="33EDB56B" w14:textId="652AA47F" w:rsidR="00902AE5" w:rsidRPr="00E439E8" w:rsidRDefault="00902AE5" w:rsidP="000145D0">
      <w:r w:rsidRPr="00E439E8">
        <w:t xml:space="preserve">The </w:t>
      </w:r>
      <w:r w:rsidR="008B5C2F">
        <w:t xml:space="preserve">Avoided </w:t>
      </w:r>
      <w:r w:rsidR="00115F87" w:rsidRPr="00E439E8">
        <w:t>RPS</w:t>
      </w:r>
      <w:r w:rsidR="008B5C2F">
        <w:t xml:space="preserve"> Cost component</w:t>
      </w:r>
      <w:r w:rsidRPr="00E439E8">
        <w:t xml:space="preserve"> has been updated with pricing information from the RSP Calculator version 6.2, and the current California RPS policy goals for the IOUs (33% in 2020 and 50% by 2030).  </w:t>
      </w:r>
    </w:p>
    <w:p w14:paraId="316FAD31" w14:textId="48201CE1" w:rsidR="005F5AE5" w:rsidRDefault="008B5C2F" w:rsidP="000145D0">
      <w:r>
        <w:t xml:space="preserve">This component </w:t>
      </w:r>
      <w:r w:rsidR="00115F87">
        <w:t xml:space="preserve">reflects the fact that as energy usage declines, the amount of utility renewable purchases required to meet the RPS goals also declines.  Since the cost of renewable energy is higher than </w:t>
      </w:r>
      <w:r w:rsidR="00CA07A8">
        <w:t xml:space="preserve">the forecasted cost of </w:t>
      </w:r>
      <w:r w:rsidR="00115F87">
        <w:t>wholesale energy and capacity market</w:t>
      </w:r>
      <w:r w:rsidR="00CA07A8">
        <w:t xml:space="preserve"> purchases</w:t>
      </w:r>
      <w:r w:rsidR="00115F87">
        <w:t xml:space="preserve">, energy reductions provide some value above the wholesale energy and capacity markets.  </w:t>
      </w:r>
    </w:p>
    <w:p w14:paraId="47C72023" w14:textId="175078C3" w:rsidR="00115F87" w:rsidRDefault="00115F87" w:rsidP="000145D0">
      <w:r>
        <w:t xml:space="preserve">The </w:t>
      </w:r>
      <w:r w:rsidR="008B5C2F">
        <w:t>Avoided RPS Cost component</w:t>
      </w:r>
      <w:r>
        <w:t xml:space="preserve"> is a function of the Renewable Premium, the incremental cost of the marginal renewable resource above the cost of conventional generation. </w:t>
      </w:r>
      <w:r w:rsidRPr="7B863597">
        <w:t xml:space="preserve">The marginal renewable resource is based upon </w:t>
      </w:r>
      <w:r w:rsidR="6F9B0FE0" w:rsidRPr="7B863597">
        <w:t>an energy-only (n</w:t>
      </w:r>
      <w:r w:rsidR="7B863597" w:rsidRPr="7B863597">
        <w:t>ot fully deliverable)</w:t>
      </w:r>
      <w:r w:rsidR="6F9B0FE0" w:rsidRPr="25ED4B98">
        <w:t xml:space="preserve"> </w:t>
      </w:r>
      <w:r w:rsidRPr="7B863597">
        <w:t>t</w:t>
      </w:r>
      <w:r w:rsidR="6F9B0FE0" w:rsidRPr="7B863597">
        <w:t>racking solar PV</w:t>
      </w:r>
      <w:r w:rsidR="7B863597" w:rsidRPr="7B863597">
        <w:t xml:space="preserve"> resource</w:t>
      </w:r>
      <w:r w:rsidRPr="25ED4B98">
        <w:t xml:space="preserve">. </w:t>
      </w:r>
      <w:r w:rsidR="1E554E2D">
        <w:t xml:space="preserve">Energy-only means that the resource is attributed no incremental transmission </w:t>
      </w:r>
      <w:r w:rsidR="1E554E2D">
        <w:lastRenderedPageBreak/>
        <w:t>costs and consequently, no capacity</w:t>
      </w:r>
      <w:r w:rsidR="62CD6308">
        <w:t xml:space="preserve"> value</w:t>
      </w:r>
      <w:r w:rsidR="44D1ED6C">
        <w:t xml:space="preserve"> is netted </w:t>
      </w:r>
      <w:proofErr w:type="gramStart"/>
      <w:r w:rsidR="44D1ED6C">
        <w:t>off of</w:t>
      </w:r>
      <w:proofErr w:type="gramEnd"/>
      <w:r w:rsidR="44D1ED6C">
        <w:t xml:space="preserve"> the total renewable cost</w:t>
      </w:r>
      <w:r w:rsidR="62CD6308" w:rsidRPr="25ED4B98">
        <w:t xml:space="preserve">. </w:t>
      </w:r>
      <w:r w:rsidR="1E554E2D">
        <w:t>The Renewable Premium is calculated by subtracting the market energ</w:t>
      </w:r>
      <w:r>
        <w:t>y value</w:t>
      </w:r>
      <w:r w:rsidR="62CD6308">
        <w:t xml:space="preserve"> (including CO2)</w:t>
      </w:r>
      <w:r>
        <w:t xml:space="preserve"> associated with this </w:t>
      </w:r>
      <w:r w:rsidR="62CD6308">
        <w:t>resourc</w:t>
      </w:r>
      <w:r>
        <w:t xml:space="preserve">e from its levelized cost of energy as shown in </w:t>
      </w:r>
      <w:r>
        <w:fldChar w:fldCharType="begin"/>
      </w:r>
      <w:r>
        <w:instrText xml:space="preserve"> REF _Ref248226609 \h </w:instrText>
      </w:r>
      <w:r>
        <w:fldChar w:fldCharType="separate"/>
      </w:r>
      <w:r w:rsidR="00902AE5">
        <w:t xml:space="preserve">Figure </w:t>
      </w:r>
      <w:r w:rsidR="00902AE5">
        <w:rPr>
          <w:noProof/>
        </w:rPr>
        <w:t>15</w:t>
      </w:r>
      <w:r>
        <w:fldChar w:fldCharType="end"/>
      </w:r>
      <w:r>
        <w:t xml:space="preserve">. The </w:t>
      </w:r>
      <w:r w:rsidR="00937042">
        <w:t>Avoided RPS Cost</w:t>
      </w:r>
      <w:r>
        <w:t xml:space="preserve"> is calculated directly from the Renewable Premium by multiplying by the RPS goal for that year.  For example, in 2021 the </w:t>
      </w:r>
      <w:r w:rsidR="00937042">
        <w:t>Avoided RPS Cost</w:t>
      </w:r>
      <w:r>
        <w:t xml:space="preserve"> </w:t>
      </w:r>
      <w:r w:rsidR="00D52504">
        <w:t xml:space="preserve">is equal to the Renewable premium * </w:t>
      </w:r>
      <w:r>
        <w:t>33%, as, for each 1 kWh of avoided retail sales, 0.33 kWh of renewable purchases are avoided.</w:t>
      </w:r>
      <w:r w:rsidR="005D10AA" w:rsidRPr="25ED4B98">
        <w:t xml:space="preserve">  </w:t>
      </w:r>
      <w:r w:rsidR="005D10AA" w:rsidRPr="1B4CFB0E">
        <w:t xml:space="preserve">The </w:t>
      </w:r>
      <w:r w:rsidR="00937042">
        <w:t>Avoided RPS Cost</w:t>
      </w:r>
      <w:r w:rsidR="005D10AA" w:rsidRPr="1B4CFB0E">
        <w:t xml:space="preserve"> increases </w:t>
      </w:r>
      <w:r w:rsidR="3CA85655" w:rsidRPr="1B4CFB0E">
        <w:t>li</w:t>
      </w:r>
      <w:r w:rsidR="0C68D290" w:rsidRPr="1B4CFB0E">
        <w:t>nearly between a 2016 compliance obligation of 25% and a 2030 compliance obligation of 50%</w:t>
      </w:r>
      <w:r w:rsidR="005D10AA" w:rsidRPr="25ED4B98">
        <w:t xml:space="preserve">. </w:t>
      </w:r>
    </w:p>
    <w:p w14:paraId="3D28BBA0" w14:textId="4C962FF5" w:rsidR="00115F87" w:rsidRDefault="00115F87" w:rsidP="00087461">
      <w:pPr>
        <w:pStyle w:val="Caption"/>
      </w:pPr>
      <w:bookmarkStart w:id="48" w:name="_Ref248226609"/>
      <w:r w:rsidRPr="1B4CFB0E">
        <w:t xml:space="preserve">Figure </w:t>
      </w:r>
      <w:r w:rsidR="00813981" w:rsidRPr="008A6BDD">
        <w:fldChar w:fldCharType="begin"/>
      </w:r>
      <w:r w:rsidR="00813981">
        <w:instrText xml:space="preserve"> SEQ Figure \* ARABIC </w:instrText>
      </w:r>
      <w:r w:rsidR="00813981" w:rsidRPr="008A6BDD">
        <w:fldChar w:fldCharType="separate"/>
      </w:r>
      <w:r w:rsidR="001068CE">
        <w:rPr>
          <w:noProof/>
        </w:rPr>
        <w:t>16</w:t>
      </w:r>
      <w:r w:rsidR="00813981" w:rsidRPr="008A6BDD">
        <w:fldChar w:fldCharType="end"/>
      </w:r>
      <w:bookmarkEnd w:id="48"/>
      <w:r w:rsidRPr="1B4CFB0E">
        <w:t>. Evaluation of the Renewable Premium</w:t>
      </w:r>
    </w:p>
    <w:p w14:paraId="01153D92" w14:textId="00DA05BD" w:rsidR="02581B35" w:rsidRDefault="02581B35">
      <w:r>
        <w:rPr>
          <w:noProof/>
        </w:rPr>
        <w:drawing>
          <wp:inline distT="0" distB="0" distL="0" distR="0" wp14:anchorId="139F6A0A" wp14:editId="01EBE840">
            <wp:extent cx="5943600" cy="3533775"/>
            <wp:effectExtent l="0" t="0" r="0" b="0"/>
            <wp:docPr id="21035091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0C473FE3" w14:textId="4E1DB941" w:rsidR="007F2179" w:rsidRPr="00395607" w:rsidRDefault="007F2179" w:rsidP="00087461">
      <w:pPr>
        <w:pStyle w:val="Caption"/>
      </w:pPr>
      <w:r w:rsidRPr="34C9CF8C">
        <w:lastRenderedPageBreak/>
        <w:t xml:space="preserve">Figure </w:t>
      </w:r>
      <w:r w:rsidR="00813981" w:rsidRPr="008A6BDD">
        <w:fldChar w:fldCharType="begin"/>
      </w:r>
      <w:r w:rsidR="00813981">
        <w:instrText xml:space="preserve"> SEQ Figure \* ARABIC </w:instrText>
      </w:r>
      <w:r w:rsidR="00813981" w:rsidRPr="008A6BDD">
        <w:fldChar w:fldCharType="separate"/>
      </w:r>
      <w:r w:rsidR="001068CE">
        <w:rPr>
          <w:noProof/>
        </w:rPr>
        <w:t>17</w:t>
      </w:r>
      <w:r w:rsidR="00813981" w:rsidRPr="008A6BDD">
        <w:fldChar w:fldCharType="end"/>
      </w:r>
      <w:r w:rsidRPr="34C9CF8C">
        <w:t xml:space="preserve">:  Annual </w:t>
      </w:r>
      <w:r w:rsidR="00937042">
        <w:t>Avoided RPS Cost</w:t>
      </w:r>
      <w:r w:rsidR="00127E9A" w:rsidRPr="6E4D4ABE">
        <w:t xml:space="preserve"> </w:t>
      </w:r>
    </w:p>
    <w:p w14:paraId="2635EF42" w14:textId="77777777" w:rsidR="00A93E2C" w:rsidRDefault="007A19C3" w:rsidP="00C40E73">
      <w:bookmarkStart w:id="49" w:name="_Toc271574659"/>
      <w:bookmarkStart w:id="50" w:name="_Toc271575308"/>
      <w:r>
        <w:rPr>
          <w:noProof/>
        </w:rPr>
        <w:drawing>
          <wp:inline distT="0" distB="0" distL="0" distR="0" wp14:anchorId="3DB36147" wp14:editId="0AE677A7">
            <wp:extent cx="5619750" cy="2647950"/>
            <wp:effectExtent l="0" t="0" r="0" b="0"/>
            <wp:docPr id="6392533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l="5449"/>
                    <a:stretch/>
                  </pic:blipFill>
                  <pic:spPr bwMode="auto">
                    <a:xfrm>
                      <a:off x="0" y="0"/>
                      <a:ext cx="5619750" cy="2647950"/>
                    </a:xfrm>
                    <a:prstGeom prst="rect">
                      <a:avLst/>
                    </a:prstGeom>
                    <a:ln>
                      <a:noFill/>
                    </a:ln>
                    <a:extLst>
                      <a:ext uri="{53640926-AAD7-44D8-BBD7-CCE9431645EC}">
                        <a14:shadowObscured xmlns:a14="http://schemas.microsoft.com/office/drawing/2010/main"/>
                      </a:ext>
                    </a:extLst>
                  </pic:spPr>
                </pic:pic>
              </a:graphicData>
            </a:graphic>
          </wp:inline>
        </w:drawing>
      </w:r>
    </w:p>
    <w:p w14:paraId="754EE5CA" w14:textId="77777777" w:rsidR="00A93E2C" w:rsidRDefault="00A93E2C" w:rsidP="00C40E73"/>
    <w:p w14:paraId="6CB73335" w14:textId="18B0A26D" w:rsidR="00A93E2C" w:rsidRDefault="00A93E2C" w:rsidP="00A93E2C">
      <w:pPr>
        <w:pStyle w:val="Heading2"/>
      </w:pPr>
      <w:bookmarkStart w:id="51" w:name="_Toc493516875"/>
      <w:r>
        <w:t>Greenhouse Gas Adder</w:t>
      </w:r>
      <w:bookmarkEnd w:id="51"/>
    </w:p>
    <w:p w14:paraId="4B345ED5" w14:textId="00AB43B1" w:rsidR="00A93E2C" w:rsidRDefault="00A93E2C" w:rsidP="00A93E2C">
      <w:r>
        <w:t xml:space="preserve">This version of the avoided cost calculator incorporates a greenhouse gas (GHG) adder. This GHG adder is meant to represent any additional societal or external cost of GHGs that are not captured in the existing monetized carbon emission component of avoided costs. In the 2017 update, a set of interim GHG adder values were adopted </w:t>
      </w:r>
      <w:r w:rsidR="00F50DD6">
        <w:t xml:space="preserve">which </w:t>
      </w:r>
      <w:r w:rsidR="009B0419">
        <w:t>are based on</w:t>
      </w:r>
      <w:r w:rsidR="00F50DD6">
        <w:t xml:space="preserve"> the California Air Resources Board Cap-and-Trade Allowance Price Containment Reserve (APCR)</w:t>
      </w:r>
      <w:r w:rsidR="009B0419">
        <w:t xml:space="preserve"> and</w:t>
      </w:r>
      <w:r w:rsidR="00EC16D7">
        <w:t xml:space="preserve"> are replic</w:t>
      </w:r>
      <w:r w:rsidR="006B2392">
        <w:t xml:space="preserve">ated in </w:t>
      </w:r>
      <w:r w:rsidR="006B2392">
        <w:fldChar w:fldCharType="begin"/>
      </w:r>
      <w:r w:rsidR="006B2392">
        <w:instrText xml:space="preserve"> REF _Ref492929782 \h </w:instrText>
      </w:r>
      <w:r w:rsidR="006B2392">
        <w:fldChar w:fldCharType="separate"/>
      </w:r>
      <w:r w:rsidR="006B2392">
        <w:t xml:space="preserve">Table </w:t>
      </w:r>
      <w:r w:rsidR="006B2392">
        <w:rPr>
          <w:noProof/>
        </w:rPr>
        <w:t>9</w:t>
      </w:r>
      <w:r w:rsidR="006B2392">
        <w:fldChar w:fldCharType="end"/>
      </w:r>
      <w:r w:rsidR="006B2392">
        <w:t xml:space="preserve">. </w:t>
      </w:r>
    </w:p>
    <w:p w14:paraId="58B5386F" w14:textId="2B618943" w:rsidR="006B2392" w:rsidRDefault="006B2392" w:rsidP="006B2392">
      <w:pPr>
        <w:pStyle w:val="Caption"/>
      </w:pPr>
      <w:bookmarkStart w:id="52" w:name="_Ref492929782"/>
      <w:r>
        <w:lastRenderedPageBreak/>
        <w:t xml:space="preserve">Table </w:t>
      </w:r>
      <w:fldSimple w:instr=" SEQ Table \* ARABIC ">
        <w:r>
          <w:rPr>
            <w:noProof/>
          </w:rPr>
          <w:t>9</w:t>
        </w:r>
      </w:fldSimple>
      <w:bookmarkEnd w:id="52"/>
      <w:r>
        <w:t>: Interim GHG Adder Values</w:t>
      </w:r>
      <w:r w:rsidR="009B0419">
        <w:t>: Based on CARB Cap-and-Trade APCR Prices</w:t>
      </w:r>
    </w:p>
    <w:p w14:paraId="6708E3C2" w14:textId="51571ED5" w:rsidR="00EC16D7" w:rsidRDefault="006B2392" w:rsidP="00A93E2C">
      <w:r w:rsidRPr="006B2392">
        <w:rPr>
          <w:noProof/>
        </w:rPr>
        <w:drawing>
          <wp:inline distT="0" distB="0" distL="0" distR="0" wp14:anchorId="166F3F13" wp14:editId="6DB13FB5">
            <wp:extent cx="1289050" cy="2952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9050" cy="2952750"/>
                    </a:xfrm>
                    <a:prstGeom prst="rect">
                      <a:avLst/>
                    </a:prstGeom>
                    <a:noFill/>
                    <a:ln>
                      <a:noFill/>
                    </a:ln>
                  </pic:spPr>
                </pic:pic>
              </a:graphicData>
            </a:graphic>
          </wp:inline>
        </w:drawing>
      </w:r>
    </w:p>
    <w:p w14:paraId="4E145A26" w14:textId="77777777" w:rsidR="00552166" w:rsidRDefault="006B2392" w:rsidP="00A93E2C">
      <w:r>
        <w:t>From these values, the</w:t>
      </w:r>
      <w:r w:rsidR="00552166">
        <w:t xml:space="preserve"> existing</w:t>
      </w:r>
      <w:r>
        <w:t xml:space="preserve"> cap-and-trade </w:t>
      </w:r>
      <w:r w:rsidR="00552166">
        <w:t>price forecast (</w:t>
      </w:r>
      <w:r>
        <w:t>$/</w:t>
      </w:r>
      <w:proofErr w:type="spellStart"/>
      <w:r>
        <w:t>tonne</w:t>
      </w:r>
      <w:proofErr w:type="spellEnd"/>
      <w:r w:rsidR="00552166">
        <w:t>)</w:t>
      </w:r>
      <w:r>
        <w:t xml:space="preserve"> that is already used to calculate the </w:t>
      </w:r>
      <w:r w:rsidR="00552166">
        <w:t>emissions component in the avoided cost is subtracted, leaving only the incremental portion of the GHG adder.</w:t>
      </w:r>
    </w:p>
    <w:p w14:paraId="1646C047" w14:textId="2ED0FBE3" w:rsidR="006B2392" w:rsidRDefault="00552166" w:rsidP="00A93E2C">
      <w:r>
        <w:t xml:space="preserve">The next step to calculating the GHG adder is determining the GHG emission rate in each hour. To determine this, we first calculate an implied heat rate (Btu/kWh) in each hour. The implied heat rate is calculated by subtracting the </w:t>
      </w:r>
      <w:r w:rsidR="006430CC">
        <w:t xml:space="preserve">cap-and-trade emission value and </w:t>
      </w:r>
      <w:r>
        <w:t>variable operations and maintenance</w:t>
      </w:r>
      <w:r w:rsidR="006430CC">
        <w:t xml:space="preserve"> (O&amp;M)</w:t>
      </w:r>
      <w:r>
        <w:t xml:space="preserve"> expense of a CCGT from the energy price in each hour and then dividing by the natural gas price. This implied heat rate is then multiplied by the GHG intensity of natural gas (</w:t>
      </w:r>
      <w:proofErr w:type="spellStart"/>
      <w:r>
        <w:t>tonne</w:t>
      </w:r>
      <w:proofErr w:type="spellEnd"/>
      <w:r>
        <w:t>/Btu)</w:t>
      </w:r>
      <w:r w:rsidR="007E2F86">
        <w:t xml:space="preserve"> which yields an intermediate </w:t>
      </w:r>
      <w:r>
        <w:t xml:space="preserve">emission factor in </w:t>
      </w:r>
      <w:proofErr w:type="spellStart"/>
      <w:r>
        <w:t>tonne</w:t>
      </w:r>
      <w:proofErr w:type="spellEnd"/>
      <w:r>
        <w:t>/kWh.</w:t>
      </w:r>
      <w:r w:rsidR="007E2F86">
        <w:t xml:space="preserve"> This intermediate value is then multiplied by (1 minus the RPS%) to yield a final emission factor. This RPS adjustment is necessary because California’s RPS policy is based on retail sales of electricity. When a distributed resource saves a kWh of electricity, the utility consequently procures 0.5 kWh less renewable energy (under a 50% RPS). This RPS that the utility no longer procures would have offset GHG emissions itself, and so the resulting net GHG impact must be adjusted by (1 minus the RPS%).</w:t>
      </w:r>
    </w:p>
    <w:p w14:paraId="7D8FE438" w14:textId="77777777" w:rsidR="001068CE" w:rsidRDefault="007E2F86" w:rsidP="00A93E2C">
      <w:r>
        <w:lastRenderedPageBreak/>
        <w:t>Finally, the incremental portion of the GHG adder price ($/</w:t>
      </w:r>
      <w:proofErr w:type="spellStart"/>
      <w:r>
        <w:t>tonne</w:t>
      </w:r>
      <w:proofErr w:type="spellEnd"/>
      <w:r>
        <w:t>) is multiplied by the RPS adjusted emission rate (</w:t>
      </w:r>
      <w:proofErr w:type="spellStart"/>
      <w:r>
        <w:t>tonne</w:t>
      </w:r>
      <w:proofErr w:type="spellEnd"/>
      <w:r>
        <w:t>/kWh) to yield a final GHG adder value ($/kWh) in each hour.</w:t>
      </w:r>
      <w:r w:rsidR="001068CE">
        <w:t xml:space="preserve"> A sample result of this final GHG adder value is shown below for an average day.</w:t>
      </w:r>
    </w:p>
    <w:p w14:paraId="55BE5594" w14:textId="6FC70268" w:rsidR="007E2F86" w:rsidRDefault="001068CE" w:rsidP="001068CE">
      <w:pPr>
        <w:pStyle w:val="Caption"/>
      </w:pPr>
      <w:r>
        <w:t xml:space="preserve">Figure </w:t>
      </w:r>
      <w:fldSimple w:instr=" SEQ Figure \* ARABIC ">
        <w:r>
          <w:rPr>
            <w:noProof/>
          </w:rPr>
          <w:t>18</w:t>
        </w:r>
      </w:fldSimple>
      <w:r>
        <w:t>: GHG Adder Values for Average Day:</w:t>
      </w:r>
      <w:r w:rsidR="007E2F86">
        <w:t xml:space="preserve"> </w:t>
      </w:r>
      <w:r w:rsidR="00E018B3">
        <w:t xml:space="preserve">CZ 13, 2017 start year, 15 </w:t>
      </w:r>
      <w:proofErr w:type="spellStart"/>
      <w:r w:rsidR="00E018B3">
        <w:t>yr</w:t>
      </w:r>
      <w:proofErr w:type="spellEnd"/>
      <w:r w:rsidR="00E018B3">
        <w:t xml:space="preserve"> </w:t>
      </w:r>
      <w:proofErr w:type="spellStart"/>
      <w:r w:rsidR="00E018B3">
        <w:t>levelization</w:t>
      </w:r>
      <w:proofErr w:type="spellEnd"/>
      <w:r w:rsidR="00E018B3">
        <w:t xml:space="preserve"> period</w:t>
      </w:r>
    </w:p>
    <w:p w14:paraId="2CE99AEB" w14:textId="07207978" w:rsidR="001068CE" w:rsidRDefault="001068CE" w:rsidP="00A93E2C">
      <w:r w:rsidRPr="001068CE">
        <w:rPr>
          <w:noProof/>
        </w:rPr>
        <w:drawing>
          <wp:inline distT="0" distB="0" distL="0" distR="0" wp14:anchorId="6DEFE8B1" wp14:editId="14F7F28B">
            <wp:extent cx="4565650" cy="27368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5650" cy="2736850"/>
                    </a:xfrm>
                    <a:prstGeom prst="rect">
                      <a:avLst/>
                    </a:prstGeom>
                    <a:noFill/>
                    <a:ln>
                      <a:noFill/>
                    </a:ln>
                  </pic:spPr>
                </pic:pic>
              </a:graphicData>
            </a:graphic>
          </wp:inline>
        </w:drawing>
      </w:r>
    </w:p>
    <w:p w14:paraId="5F4ABE6F" w14:textId="77777777" w:rsidR="00EC16D7" w:rsidRPr="00E439E8" w:rsidRDefault="00EC16D7" w:rsidP="00A93E2C"/>
    <w:p w14:paraId="246A9EB0" w14:textId="2E5E5E28" w:rsidR="00273CE0" w:rsidRPr="003173B4" w:rsidRDefault="00170CD9" w:rsidP="00C40E73">
      <w:pPr>
        <w:rPr>
          <w:rStyle w:val="Heading2Char"/>
        </w:rPr>
      </w:pPr>
      <w:r>
        <w:br w:type="page"/>
      </w:r>
      <w:bookmarkEnd w:id="49"/>
      <w:bookmarkEnd w:id="50"/>
      <w:r w:rsidR="00AC5002" w:rsidRPr="003173B4">
        <w:rPr>
          <w:rStyle w:val="Heading2Char"/>
        </w:rPr>
        <w:lastRenderedPageBreak/>
        <w:t xml:space="preserve"> </w:t>
      </w:r>
      <w:bookmarkStart w:id="53" w:name="_Toc493516876"/>
      <w:r w:rsidR="00273CE0" w:rsidRPr="003173B4">
        <w:rPr>
          <w:rStyle w:val="Heading2Char"/>
        </w:rPr>
        <w:t>Components Not Included</w:t>
      </w:r>
      <w:bookmarkEnd w:id="53"/>
    </w:p>
    <w:p w14:paraId="29569AC2" w14:textId="77777777" w:rsidR="00F03153" w:rsidRPr="0083579C" w:rsidRDefault="00273CE0" w:rsidP="00C40E73">
      <w:r>
        <w:t>Several components suggested by stakeholders in various proceedings are not currently included in the calculation of avoided costs.  Non-energy Benefits (NEBs), by their nature, are difficult – if not impossible – to quantify.  Work has been done to quantify some of these benefits for low income energy efficiency programs.</w:t>
      </w:r>
      <w:r>
        <w:rPr>
          <w:rStyle w:val="FootnoteReference"/>
        </w:rPr>
        <w:footnoteReference w:id="14"/>
      </w:r>
      <w:r>
        <w:t xml:space="preserve">   NEBs are not, however, currently included in the avoided cost methodology. The CPUC has authorized studies and pilot programs regarding embedded energy in water.  To date a comprehensive framework for calculating embedded energy in water savings or water avoided costs in energy on a statewide basis has not yet been developed.</w:t>
      </w:r>
      <w:r>
        <w:rPr>
          <w:rStyle w:val="FootnoteReference"/>
        </w:rPr>
        <w:footnoteReference w:id="15"/>
      </w:r>
      <w:r w:rsidRPr="25ED4B98">
        <w:t xml:space="preserve"> </w:t>
      </w:r>
      <w:r w:rsidR="00320BF8">
        <w:t xml:space="preserve">Avoided costs of current or future Ancillary Services associated with renewable integration or overgeneration are also not included.  The need for flexible resources to provide services such as load following or ramping capability are driven primarily by the variation in, rather than the absolute level of, loads and generation.  </w:t>
      </w:r>
      <w:proofErr w:type="gramStart"/>
      <w:r>
        <w:t>Finally</w:t>
      </w:r>
      <w:proofErr w:type="gramEnd"/>
      <w:r>
        <w:t xml:space="preserve"> the impacts of power factor and reactive loads are not currently included in the avoided cost methodology. An EM&amp;V study for the CPUC Operational Energy Efficiency Program for water pumping produced by E3 found that the value of reduced reactive loads (</w:t>
      </w:r>
      <w:proofErr w:type="spellStart"/>
      <w:r>
        <w:t>kVAR</w:t>
      </w:r>
      <w:proofErr w:type="spellEnd"/>
      <w:r>
        <w:t>) and associated line loss reductions ranged from 5 to 12 percent of the $/kWh avoided cost savings.</w:t>
      </w:r>
      <w:r>
        <w:rPr>
          <w:rStyle w:val="FootnoteReference"/>
        </w:rPr>
        <w:footnoteReference w:id="16"/>
      </w:r>
      <w:r>
        <w:t xml:space="preserve">  However the savings associated with improved power factor and reduced reactive load depend to a large extent on </w:t>
      </w:r>
      <w:r>
        <w:lastRenderedPageBreak/>
        <w:t xml:space="preserve">the type and location of loads on the feeder.  As with embedded energy in water, a generalized framework for a statewide analysis has not yet been performed. </w:t>
      </w:r>
    </w:p>
    <w:p w14:paraId="35AAF834" w14:textId="33272CB7" w:rsidR="009A27D1" w:rsidRPr="001776F0" w:rsidRDefault="009A27D1" w:rsidP="009A27D1">
      <w:pPr>
        <w:spacing w:before="0" w:after="0" w:line="240" w:lineRule="auto"/>
      </w:pPr>
    </w:p>
    <w:p w14:paraId="21839370" w14:textId="4549AFAA" w:rsidR="009A27D1" w:rsidRDefault="009A27D1" w:rsidP="008A6BDD">
      <w:pPr>
        <w:spacing w:before="0" w:after="0" w:line="240" w:lineRule="auto"/>
      </w:pPr>
      <w:r>
        <w:br w:type="page"/>
      </w:r>
    </w:p>
    <w:p w14:paraId="4FBC0195" w14:textId="36E4E147" w:rsidR="00D52504" w:rsidRPr="004701E8" w:rsidRDefault="00D52504" w:rsidP="003E57FE">
      <w:pPr>
        <w:spacing w:before="0" w:after="0" w:line="240" w:lineRule="auto"/>
      </w:pPr>
    </w:p>
    <w:p w14:paraId="23BD3D19" w14:textId="5CD04A8B" w:rsidR="00406A5F" w:rsidRDefault="00406A5F" w:rsidP="00406A5F">
      <w:pPr>
        <w:pStyle w:val="Heading1"/>
      </w:pPr>
      <w:bookmarkStart w:id="54" w:name="_Toc315352214"/>
      <w:bookmarkStart w:id="55" w:name="_Toc271574666"/>
      <w:bookmarkStart w:id="56" w:name="_Toc271575315"/>
      <w:bookmarkStart w:id="57" w:name="_Toc493516877"/>
      <w:r>
        <w:t xml:space="preserve">Comparison of </w:t>
      </w:r>
      <w:r>
        <w:rPr>
          <w:lang w:val="en-US"/>
        </w:rPr>
        <w:t xml:space="preserve">the </w:t>
      </w:r>
      <w:r>
        <w:t xml:space="preserve">Updated EE Avoided Costs </w:t>
      </w:r>
      <w:r>
        <w:rPr>
          <w:lang w:val="en-US"/>
        </w:rPr>
        <w:t>to</w:t>
      </w:r>
      <w:r>
        <w:t xml:space="preserve"> </w:t>
      </w:r>
      <w:r>
        <w:rPr>
          <w:lang w:val="en-US"/>
        </w:rPr>
        <w:t>Current</w:t>
      </w:r>
      <w:r>
        <w:t xml:space="preserve"> EE Avoided Costs</w:t>
      </w:r>
      <w:bookmarkEnd w:id="54"/>
      <w:bookmarkEnd w:id="57"/>
    </w:p>
    <w:p w14:paraId="2EBE93E9" w14:textId="11916EFE" w:rsidR="00406A5F" w:rsidRDefault="00406A5F" w:rsidP="00406A5F">
      <w:r>
        <w:t xml:space="preserve">Shown in this section are the total annual average avoided costs for DEER measures by climate zone.  The avoided costs for generation (Gen) and transmission and distribution (T&amp;D) are plotted separately.  The current EE annual average avoided costs for each DEER measure are shown as stacked lines.  Gen includes energy, emissions, ancillary services, </w:t>
      </w:r>
      <w:r w:rsidR="00937042">
        <w:t>Avoided RPS cost</w:t>
      </w:r>
      <w:r>
        <w:t xml:space="preserve">, and generation losses.   T&amp;D shows T&amp;D capacity and losses.   The annual average avoided costs using the updated avoided costs are plotted as stacked column charts.  </w:t>
      </w:r>
    </w:p>
    <w:p w14:paraId="603D0D83" w14:textId="584B350C" w:rsidR="00406A5F" w:rsidRDefault="00406A5F" w:rsidP="00406A5F">
      <w:r>
        <w:t xml:space="preserve">For each </w:t>
      </w:r>
      <w:proofErr w:type="gramStart"/>
      <w:r>
        <w:t>utility</w:t>
      </w:r>
      <w:proofErr w:type="gramEnd"/>
      <w:r>
        <w:t xml:space="preserve"> a plot of the DEER measure shape avoided costs are shown for 2020, followed by 2030.</w:t>
      </w:r>
    </w:p>
    <w:p w14:paraId="583EF0B7" w14:textId="77777777" w:rsidR="003A7C92" w:rsidRDefault="003A7C92" w:rsidP="00406A5F"/>
    <w:p w14:paraId="50DA5D63" w14:textId="2B6B884E" w:rsidR="00406A5F" w:rsidRDefault="00156051" w:rsidP="003A7C92">
      <w:r>
        <w:rPr>
          <w:noProof/>
        </w:rPr>
        <w:lastRenderedPageBreak/>
        <w:drawing>
          <wp:inline distT="0" distB="0" distL="0" distR="0" wp14:anchorId="3DBB5636" wp14:editId="5B47F99E">
            <wp:extent cx="5934456" cy="363016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456" cy="3630168"/>
                    </a:xfrm>
                    <a:prstGeom prst="rect">
                      <a:avLst/>
                    </a:prstGeom>
                    <a:noFill/>
                  </pic:spPr>
                </pic:pic>
              </a:graphicData>
            </a:graphic>
          </wp:inline>
        </w:drawing>
      </w:r>
    </w:p>
    <w:p w14:paraId="513615DC" w14:textId="7C342C1A" w:rsidR="00406A5F" w:rsidRDefault="00156051" w:rsidP="003A7C92">
      <w:pPr>
        <w:pStyle w:val="NoSpacing"/>
      </w:pPr>
      <w:r>
        <w:rPr>
          <w:noProof/>
          <w:lang w:eastAsia="en-US"/>
        </w:rPr>
        <w:drawing>
          <wp:inline distT="0" distB="0" distL="0" distR="0" wp14:anchorId="51C52829" wp14:editId="00F4621F">
            <wp:extent cx="5943600" cy="36393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39312"/>
                    </a:xfrm>
                    <a:prstGeom prst="rect">
                      <a:avLst/>
                    </a:prstGeom>
                    <a:noFill/>
                  </pic:spPr>
                </pic:pic>
              </a:graphicData>
            </a:graphic>
          </wp:inline>
        </w:drawing>
      </w:r>
    </w:p>
    <w:p w14:paraId="22AD7DFF" w14:textId="7BFCE0E2" w:rsidR="00406A5F" w:rsidRDefault="00156051" w:rsidP="003A7C92">
      <w:r>
        <w:rPr>
          <w:noProof/>
        </w:rPr>
        <w:lastRenderedPageBreak/>
        <w:drawing>
          <wp:inline distT="0" distB="0" distL="0" distR="0" wp14:anchorId="0C9005A0" wp14:editId="2B222999">
            <wp:extent cx="5961888" cy="3657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1888" cy="3657600"/>
                    </a:xfrm>
                    <a:prstGeom prst="rect">
                      <a:avLst/>
                    </a:prstGeom>
                    <a:noFill/>
                  </pic:spPr>
                </pic:pic>
              </a:graphicData>
            </a:graphic>
          </wp:inline>
        </w:drawing>
      </w:r>
    </w:p>
    <w:p w14:paraId="7A959F6C" w14:textId="6F3CED49" w:rsidR="00F1761F" w:rsidRDefault="00156051" w:rsidP="003A7C92">
      <w:pPr>
        <w:pStyle w:val="NoSpacing"/>
      </w:pPr>
      <w:r>
        <w:rPr>
          <w:noProof/>
          <w:lang w:eastAsia="en-US"/>
        </w:rPr>
        <w:drawing>
          <wp:inline distT="0" distB="0" distL="0" distR="0" wp14:anchorId="2CBDB9B8" wp14:editId="2AE4CB15">
            <wp:extent cx="5961888" cy="3657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1888" cy="3657600"/>
                    </a:xfrm>
                    <a:prstGeom prst="rect">
                      <a:avLst/>
                    </a:prstGeom>
                    <a:noFill/>
                  </pic:spPr>
                </pic:pic>
              </a:graphicData>
            </a:graphic>
          </wp:inline>
        </w:drawing>
      </w:r>
    </w:p>
    <w:p w14:paraId="6F96052B" w14:textId="77777777" w:rsidR="00156051" w:rsidRDefault="00156051" w:rsidP="003A7C92">
      <w:r>
        <w:rPr>
          <w:noProof/>
        </w:rPr>
        <w:lastRenderedPageBreak/>
        <w:drawing>
          <wp:inline distT="0" distB="0" distL="0" distR="0" wp14:anchorId="5E06651B" wp14:editId="690DB1E7">
            <wp:extent cx="5943600" cy="36397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39702"/>
                    </a:xfrm>
                    <a:prstGeom prst="rect">
                      <a:avLst/>
                    </a:prstGeom>
                    <a:noFill/>
                  </pic:spPr>
                </pic:pic>
              </a:graphicData>
            </a:graphic>
          </wp:inline>
        </w:drawing>
      </w:r>
      <w:r>
        <w:t xml:space="preserve"> </w:t>
      </w:r>
    </w:p>
    <w:p w14:paraId="5E4CB76D" w14:textId="63F2AAF9" w:rsidR="003A7C92" w:rsidRDefault="00156051" w:rsidP="003A7C92">
      <w:pPr>
        <w:rPr>
          <w:lang w:val="x-none"/>
        </w:rPr>
      </w:pPr>
      <w:r>
        <w:rPr>
          <w:noProof/>
        </w:rPr>
        <w:drawing>
          <wp:inline distT="0" distB="0" distL="0" distR="0" wp14:anchorId="1F68D706" wp14:editId="6C87752F">
            <wp:extent cx="5943600" cy="3639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pic:spPr>
                </pic:pic>
              </a:graphicData>
            </a:graphic>
          </wp:inline>
        </w:drawing>
      </w:r>
    </w:p>
    <w:p w14:paraId="7E084757" w14:textId="469ADC7C" w:rsidR="003A7C92" w:rsidRPr="003A7C92" w:rsidRDefault="003A7C92" w:rsidP="003A7C92">
      <w:pPr>
        <w:pStyle w:val="NoSpacing"/>
        <w:rPr>
          <w:lang w:val="x-none"/>
        </w:rPr>
        <w:sectPr w:rsidR="003A7C92" w:rsidRPr="003A7C92" w:rsidSect="00FD163B">
          <w:headerReference w:type="default" r:id="rId38"/>
          <w:footerReference w:type="default" r:id="rId39"/>
          <w:pgSz w:w="12240" w:h="15840"/>
          <w:pgMar w:top="1440" w:right="1440" w:bottom="1440" w:left="1440" w:header="720" w:footer="720" w:gutter="0"/>
          <w:pgNumType w:start="0"/>
          <w:cols w:space="720"/>
          <w:titlePg/>
          <w:docGrid w:linePitch="360"/>
        </w:sectPr>
      </w:pPr>
    </w:p>
    <w:p w14:paraId="76BAAD94" w14:textId="31CBF517" w:rsidR="00D44EEC" w:rsidRDefault="5D565534">
      <w:pPr>
        <w:pStyle w:val="Heading1"/>
      </w:pPr>
      <w:bookmarkStart w:id="58" w:name="_Toc493516878"/>
      <w:r>
        <w:lastRenderedPageBreak/>
        <w:t xml:space="preserve">Appendix: </w:t>
      </w:r>
      <w:r w:rsidR="00D44EEC">
        <w:t>Key Data Sources and Specific Methodology</w:t>
      </w:r>
      <w:bookmarkEnd w:id="55"/>
      <w:bookmarkEnd w:id="56"/>
      <w:bookmarkEnd w:id="58"/>
    </w:p>
    <w:p w14:paraId="72A1FEF3" w14:textId="77777777" w:rsidR="00D44EEC" w:rsidRDefault="00D44EEC" w:rsidP="00FC5D62">
      <w:r>
        <w:t>This section provides further discussion of data sources and methods used in the calculation of the hourly avoided costs.</w:t>
      </w:r>
    </w:p>
    <w:p w14:paraId="4BBE979A" w14:textId="77777777" w:rsidR="00D44EEC" w:rsidRDefault="00D44EEC" w:rsidP="008A6BDD">
      <w:pPr>
        <w:pStyle w:val="Heading2"/>
      </w:pPr>
      <w:bookmarkStart w:id="59" w:name="_Toc271574668"/>
      <w:bookmarkStart w:id="60" w:name="_Toc271575317"/>
      <w:bookmarkStart w:id="61" w:name="_Toc493516879"/>
      <w:r>
        <w:t>Power plant cost assumptions</w:t>
      </w:r>
      <w:bookmarkEnd w:id="59"/>
      <w:bookmarkEnd w:id="60"/>
      <w:bookmarkEnd w:id="61"/>
    </w:p>
    <w:p w14:paraId="69CADB5D" w14:textId="77777777" w:rsidR="00D44EEC" w:rsidRDefault="00B1567E" w:rsidP="00186B05">
      <w:r>
        <w:t>The c</w:t>
      </w:r>
      <w:r w:rsidR="00D44EEC">
        <w:t xml:space="preserve">ost and performance assumptions for the </w:t>
      </w:r>
      <w:r>
        <w:t xml:space="preserve">new </w:t>
      </w:r>
      <w:r w:rsidR="00D44EEC">
        <w:t>simple cycle plants are based on the</w:t>
      </w:r>
      <w:r>
        <w:t xml:space="preserve"> 100 MW simple cycle turbine included in the</w:t>
      </w:r>
      <w:r w:rsidR="00D44EEC">
        <w:t xml:space="preserve"> California Energy Com</w:t>
      </w:r>
      <w:r w:rsidR="002F0874">
        <w:t>m</w:t>
      </w:r>
      <w:r w:rsidR="00D44EEC">
        <w:t>iss</w:t>
      </w:r>
      <w:r>
        <w:t>ion’s Cost of Generation report.</w:t>
      </w:r>
    </w:p>
    <w:p w14:paraId="264E789F" w14:textId="32225D17" w:rsidR="0048119C" w:rsidRDefault="0048119C" w:rsidP="00087461">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10</w:t>
      </w:r>
      <w:r w:rsidR="00813981" w:rsidRPr="008A6BDD">
        <w:fldChar w:fldCharType="end"/>
      </w:r>
      <w:r w:rsidR="00B1567E" w:rsidRPr="1C3337B9">
        <w:t>.</w:t>
      </w:r>
      <w:r>
        <w:t xml:space="preserve"> Power plant cost and performance assumptions </w:t>
      </w:r>
      <w:r w:rsidR="059707EE">
        <w:t>for Combusti</w:t>
      </w:r>
      <w:r w:rsidR="1C3337B9">
        <w:t>on</w:t>
      </w:r>
      <w:r w:rsidR="059707EE">
        <w:t xml:space="preserve"> Turbine (Advanced) </w:t>
      </w:r>
    </w:p>
    <w:tbl>
      <w:tblPr>
        <w:tblStyle w:val="ListTable3-Accent1"/>
        <w:tblW w:w="9285" w:type="dxa"/>
        <w:tblLook w:val="04A0" w:firstRow="1" w:lastRow="0" w:firstColumn="1" w:lastColumn="0" w:noHBand="0" w:noVBand="1"/>
        <w:tblCaption w:val=""/>
        <w:tblDescription w:val=""/>
      </w:tblPr>
      <w:tblGrid>
        <w:gridCol w:w="3795"/>
        <w:gridCol w:w="1155"/>
        <w:gridCol w:w="4335"/>
      </w:tblGrid>
      <w:tr w:rsidR="3E8E639F" w14:paraId="79FF826B" w14:textId="77777777" w:rsidTr="008A6BDD">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3795" w:type="dxa"/>
          </w:tcPr>
          <w:p w14:paraId="668ED680" w14:textId="11CCB33F" w:rsidR="3E8E639F" w:rsidRDefault="70C82298" w:rsidP="008A6BDD">
            <w:pPr>
              <w:spacing w:before="0" w:after="0" w:line="240" w:lineRule="auto"/>
              <w:jc w:val="center"/>
            </w:pPr>
            <w:r w:rsidRPr="70C82298">
              <w:t>Item</w:t>
            </w:r>
          </w:p>
        </w:tc>
        <w:tc>
          <w:tcPr>
            <w:tcW w:w="1155" w:type="dxa"/>
          </w:tcPr>
          <w:p w14:paraId="0CB514F0" w14:textId="27A41460" w:rsidR="3E8E639F" w:rsidRDefault="4CFB6DA8"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Value</w:t>
            </w:r>
          </w:p>
        </w:tc>
        <w:tc>
          <w:tcPr>
            <w:tcW w:w="4335" w:type="dxa"/>
          </w:tcPr>
          <w:p w14:paraId="3F34C0C1" w14:textId="6D2659E0" w:rsidR="3E8E639F" w:rsidRDefault="0CE1E027" w:rsidP="008A6BDD">
            <w:pPr>
              <w:spacing w:before="0" w:after="0" w:line="240" w:lineRule="auto"/>
              <w:cnfStyle w:val="100000000000" w:firstRow="1" w:lastRow="0" w:firstColumn="0" w:lastColumn="0" w:oddVBand="0" w:evenVBand="0" w:oddHBand="0" w:evenHBand="0" w:firstRowFirstColumn="0" w:firstRowLastColumn="0" w:lastRowFirstColumn="0" w:lastRowLastColumn="0"/>
            </w:pPr>
            <w:r>
              <w:t>Source Notes</w:t>
            </w:r>
          </w:p>
        </w:tc>
      </w:tr>
      <w:tr w:rsidR="3E8E639F" w14:paraId="6BF76BF5"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5AF11829" w14:textId="10B1EF6D" w:rsidR="3E8E639F" w:rsidRDefault="3E8E639F" w:rsidP="008A6BDD">
            <w:pPr>
              <w:spacing w:before="0" w:after="0" w:line="240" w:lineRule="auto"/>
            </w:pPr>
            <w:r>
              <w:t>Operating Data</w:t>
            </w:r>
          </w:p>
        </w:tc>
        <w:tc>
          <w:tcPr>
            <w:tcW w:w="1155" w:type="dxa"/>
          </w:tcPr>
          <w:p w14:paraId="22005F3C" w14:textId="6D718DEF"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6A7BD25D">
              <w:t xml:space="preserve"> </w:t>
            </w:r>
          </w:p>
        </w:tc>
        <w:tc>
          <w:tcPr>
            <w:tcW w:w="4335" w:type="dxa"/>
          </w:tcPr>
          <w:p w14:paraId="57D6AD4D" w14:textId="69B4CF63"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p>
        </w:tc>
      </w:tr>
      <w:tr w:rsidR="3E8E639F" w14:paraId="252FA9F5"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6749E778" w14:textId="39900480" w:rsidR="3E8E639F" w:rsidRDefault="3E8E639F" w:rsidP="008A6BDD">
            <w:pPr>
              <w:spacing w:before="0" w:after="0" w:line="240" w:lineRule="auto"/>
              <w:ind w:left="720"/>
            </w:pPr>
            <w:r>
              <w:t>Heat rate (Btu/kWh)</w:t>
            </w:r>
          </w:p>
        </w:tc>
        <w:tc>
          <w:tcPr>
            <w:tcW w:w="1155" w:type="dxa"/>
          </w:tcPr>
          <w:p w14:paraId="6D4B8B38" w14:textId="428DEDDB"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 xml:space="preserve">9,880 </w:t>
            </w:r>
          </w:p>
        </w:tc>
        <w:tc>
          <w:tcPr>
            <w:tcW w:w="4335" w:type="dxa"/>
          </w:tcPr>
          <w:p w14:paraId="1AC8AA6A" w14:textId="33463D87"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r>
              <w:t>Table 49</w:t>
            </w:r>
          </w:p>
        </w:tc>
      </w:tr>
      <w:tr w:rsidR="3E8E639F" w14:paraId="3F6C0974"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24968A93" w14:textId="29C492C7" w:rsidR="3E8E639F" w:rsidRDefault="3E8E639F" w:rsidP="008A6BDD">
            <w:pPr>
              <w:spacing w:before="0" w:after="0" w:line="240" w:lineRule="auto"/>
              <w:ind w:left="720"/>
            </w:pPr>
            <w:r>
              <w:t>Lifetime (</w:t>
            </w:r>
            <w:proofErr w:type="spellStart"/>
            <w:r>
              <w:t>yrs</w:t>
            </w:r>
            <w:proofErr w:type="spellEnd"/>
            <w:r w:rsidRPr="25ED4B98">
              <w:t>)</w:t>
            </w:r>
          </w:p>
        </w:tc>
        <w:tc>
          <w:tcPr>
            <w:tcW w:w="1155" w:type="dxa"/>
          </w:tcPr>
          <w:p w14:paraId="2C5C2B18" w14:textId="680939ED"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 xml:space="preserve"> 20 </w:t>
            </w:r>
          </w:p>
        </w:tc>
        <w:tc>
          <w:tcPr>
            <w:tcW w:w="4335" w:type="dxa"/>
          </w:tcPr>
          <w:p w14:paraId="47DC654E" w14:textId="60A7D5AC"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14</w:t>
            </w:r>
          </w:p>
        </w:tc>
      </w:tr>
      <w:tr w:rsidR="3E8E639F" w14:paraId="181D00B1"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233D1DAA" w14:textId="1DEB77BE" w:rsidR="3E8E639F" w:rsidRDefault="3E8E639F" w:rsidP="008A6BDD">
            <w:pPr>
              <w:spacing w:before="0" w:after="0" w:line="240" w:lineRule="auto"/>
              <w:ind w:left="720"/>
            </w:pPr>
            <w:r>
              <w:t>Scheduled Outage Factor</w:t>
            </w:r>
          </w:p>
        </w:tc>
        <w:tc>
          <w:tcPr>
            <w:tcW w:w="1155" w:type="dxa"/>
          </w:tcPr>
          <w:p w14:paraId="79BC2A48" w14:textId="65145BFE"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3.18%</w:t>
            </w:r>
          </w:p>
        </w:tc>
        <w:tc>
          <w:tcPr>
            <w:tcW w:w="4335" w:type="dxa"/>
          </w:tcPr>
          <w:p w14:paraId="1AF9A0B5" w14:textId="2170D95E"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r>
              <w:t>Appendix B-5</w:t>
            </w:r>
          </w:p>
        </w:tc>
      </w:tr>
      <w:tr w:rsidR="3E8E639F" w14:paraId="1037D6B1"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2DBA8D4F" w14:textId="695AD44C" w:rsidR="3E8E639F" w:rsidRDefault="3E8E639F" w:rsidP="008A6BDD">
            <w:pPr>
              <w:spacing w:before="0" w:after="0" w:line="240" w:lineRule="auto"/>
              <w:ind w:left="720"/>
            </w:pPr>
            <w:r>
              <w:t>Forced Outage Rate</w:t>
            </w:r>
          </w:p>
        </w:tc>
        <w:tc>
          <w:tcPr>
            <w:tcW w:w="1155" w:type="dxa"/>
          </w:tcPr>
          <w:p w14:paraId="6F575C80" w14:textId="7D26ECCC"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4.13%</w:t>
            </w:r>
          </w:p>
        </w:tc>
        <w:tc>
          <w:tcPr>
            <w:tcW w:w="4335" w:type="dxa"/>
          </w:tcPr>
          <w:p w14:paraId="368D6768" w14:textId="17289B8A"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Appendix B-5</w:t>
            </w:r>
          </w:p>
        </w:tc>
      </w:tr>
      <w:tr w:rsidR="3E8E639F" w14:paraId="1E6C4285"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7CBB8C67" w14:textId="114B7613" w:rsidR="3E8E639F" w:rsidRDefault="3E8E639F" w:rsidP="008A6BDD">
            <w:pPr>
              <w:spacing w:before="0" w:after="0" w:line="240" w:lineRule="auto"/>
            </w:pPr>
            <w:r>
              <w:t>Costs</w:t>
            </w:r>
          </w:p>
        </w:tc>
        <w:tc>
          <w:tcPr>
            <w:tcW w:w="1155" w:type="dxa"/>
          </w:tcPr>
          <w:p w14:paraId="4F37C865" w14:textId="79D3AC4F"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6A7BD25D">
              <w:t xml:space="preserve"> </w:t>
            </w:r>
          </w:p>
        </w:tc>
        <w:tc>
          <w:tcPr>
            <w:tcW w:w="4335" w:type="dxa"/>
          </w:tcPr>
          <w:p w14:paraId="40C6582C" w14:textId="0A6E63B1"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p>
        </w:tc>
      </w:tr>
      <w:tr w:rsidR="3E8E639F" w14:paraId="7725D021"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55A0AEA4" w14:textId="5BEA112D" w:rsidR="3E8E639F" w:rsidRDefault="3E8E639F" w:rsidP="008A6BDD">
            <w:pPr>
              <w:spacing w:before="0" w:after="0" w:line="240" w:lineRule="auto"/>
              <w:ind w:left="720"/>
            </w:pPr>
            <w:r>
              <w:t>Installed Cost ($/kW)</w:t>
            </w:r>
          </w:p>
        </w:tc>
        <w:tc>
          <w:tcPr>
            <w:tcW w:w="1155" w:type="dxa"/>
          </w:tcPr>
          <w:p w14:paraId="0E92DAE7" w14:textId="2E71DAE0"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$1,069</w:t>
            </w:r>
          </w:p>
        </w:tc>
        <w:tc>
          <w:tcPr>
            <w:tcW w:w="4335" w:type="dxa"/>
          </w:tcPr>
          <w:p w14:paraId="653F6D32" w14:textId="2DBCDEFE"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3, Merchant, 2013 nominal</w:t>
            </w:r>
          </w:p>
        </w:tc>
      </w:tr>
      <w:tr w:rsidR="3E8E639F" w14:paraId="23A761B1"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5D8EE621" w14:textId="4F546C58" w:rsidR="3E8E639F" w:rsidRDefault="3E8E639F" w:rsidP="008A6BDD">
            <w:pPr>
              <w:spacing w:before="0" w:after="0" w:line="240" w:lineRule="auto"/>
              <w:ind w:left="720"/>
            </w:pPr>
            <w:r>
              <w:t>Fixed O&amp;M ($/kW-</w:t>
            </w:r>
            <w:proofErr w:type="spellStart"/>
            <w:r>
              <w:t>yr</w:t>
            </w:r>
            <w:proofErr w:type="spellEnd"/>
            <w:r w:rsidRPr="25ED4B98">
              <w:t>)</w:t>
            </w:r>
          </w:p>
        </w:tc>
        <w:tc>
          <w:tcPr>
            <w:tcW w:w="1155" w:type="dxa"/>
          </w:tcPr>
          <w:p w14:paraId="387C70B4" w14:textId="572B8F43"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$23.87</w:t>
            </w:r>
          </w:p>
        </w:tc>
        <w:tc>
          <w:tcPr>
            <w:tcW w:w="4335" w:type="dxa"/>
          </w:tcPr>
          <w:p w14:paraId="61DF5850" w14:textId="3128023A"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r>
              <w:t>Table 57, 2011 Nominal</w:t>
            </w:r>
          </w:p>
        </w:tc>
      </w:tr>
      <w:tr w:rsidR="3E8E639F" w14:paraId="1C5538B2"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41D8EAD3" w14:textId="5FF9CB08" w:rsidR="3E8E639F" w:rsidRDefault="3E8E639F" w:rsidP="008A6BDD">
            <w:pPr>
              <w:spacing w:before="0" w:after="0" w:line="240" w:lineRule="auto"/>
              <w:ind w:left="720"/>
            </w:pPr>
            <w:r>
              <w:t>Variable O&amp;M ($/MWh)</w:t>
            </w:r>
          </w:p>
        </w:tc>
        <w:tc>
          <w:tcPr>
            <w:tcW w:w="1155" w:type="dxa"/>
          </w:tcPr>
          <w:p w14:paraId="68D8965B" w14:textId="14099674"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$0.00</w:t>
            </w:r>
          </w:p>
        </w:tc>
        <w:tc>
          <w:tcPr>
            <w:tcW w:w="4335" w:type="dxa"/>
          </w:tcPr>
          <w:p w14:paraId="1F58E88E" w14:textId="37E32AED"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58, 2011 Nominal</w:t>
            </w:r>
          </w:p>
        </w:tc>
      </w:tr>
      <w:tr w:rsidR="3E8E639F" w14:paraId="32622761"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56DF1203" w14:textId="6CA475D1" w:rsidR="3E8E639F" w:rsidRDefault="3E8E639F" w:rsidP="008A6BDD">
            <w:pPr>
              <w:spacing w:before="0" w:after="0" w:line="240" w:lineRule="auto"/>
              <w:ind w:left="720"/>
            </w:pPr>
            <w:r>
              <w:t>Plant Cost Escalation Rate</w:t>
            </w:r>
          </w:p>
        </w:tc>
        <w:tc>
          <w:tcPr>
            <w:tcW w:w="1155" w:type="dxa"/>
          </w:tcPr>
          <w:p w14:paraId="68424299" w14:textId="58747BED"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2.5%</w:t>
            </w:r>
          </w:p>
        </w:tc>
        <w:tc>
          <w:tcPr>
            <w:tcW w:w="4335" w:type="dxa"/>
          </w:tcPr>
          <w:p w14:paraId="4CAF1351" w14:textId="23C7D950"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proofErr w:type="spellStart"/>
            <w:r>
              <w:t>pg</w:t>
            </w:r>
            <w:proofErr w:type="spellEnd"/>
            <w:r>
              <w:t xml:space="preserve"> 138; 2% inflation + 0.5% real escalation</w:t>
            </w:r>
          </w:p>
        </w:tc>
      </w:tr>
      <w:tr w:rsidR="3E8E639F" w14:paraId="3944FE96"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56FE8B0A" w14:textId="17C710C2" w:rsidR="3E8E639F" w:rsidRDefault="3E8E639F" w:rsidP="008A6BDD">
            <w:pPr>
              <w:spacing w:before="0" w:after="0" w:line="240" w:lineRule="auto"/>
              <w:ind w:left="720"/>
            </w:pPr>
            <w:r>
              <w:t xml:space="preserve">Cost Basis Year </w:t>
            </w:r>
          </w:p>
        </w:tc>
        <w:tc>
          <w:tcPr>
            <w:tcW w:w="1155" w:type="dxa"/>
          </w:tcPr>
          <w:p w14:paraId="23C37D08" w14:textId="24C45B8E"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2013</w:t>
            </w:r>
          </w:p>
        </w:tc>
        <w:tc>
          <w:tcPr>
            <w:tcW w:w="4335" w:type="dxa"/>
          </w:tcPr>
          <w:p w14:paraId="1CD9AF26" w14:textId="067E6FF1"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3, Merchant</w:t>
            </w:r>
          </w:p>
        </w:tc>
      </w:tr>
      <w:tr w:rsidR="3E8E639F" w14:paraId="456960C8"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3DD0426F" w14:textId="799D9660" w:rsidR="3E8E639F" w:rsidRDefault="3E8E639F" w:rsidP="008A6BDD">
            <w:pPr>
              <w:spacing w:before="0" w:after="0" w:line="240" w:lineRule="auto"/>
            </w:pPr>
            <w:r>
              <w:t>Financing</w:t>
            </w:r>
          </w:p>
        </w:tc>
        <w:tc>
          <w:tcPr>
            <w:tcW w:w="1155" w:type="dxa"/>
          </w:tcPr>
          <w:p w14:paraId="49E0E1A9" w14:textId="2F77BA9B"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6A7BD25D">
              <w:t xml:space="preserve"> </w:t>
            </w:r>
          </w:p>
        </w:tc>
        <w:tc>
          <w:tcPr>
            <w:tcW w:w="4335" w:type="dxa"/>
          </w:tcPr>
          <w:p w14:paraId="099DA830" w14:textId="3B3D9920"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p>
        </w:tc>
      </w:tr>
      <w:tr w:rsidR="3E8E639F" w14:paraId="3A282BCA"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0D7F1F6F" w14:textId="4ED28AB5" w:rsidR="3E8E639F" w:rsidRDefault="3E8E639F" w:rsidP="008A6BDD">
            <w:pPr>
              <w:spacing w:before="0" w:after="0" w:line="240" w:lineRule="auto"/>
              <w:ind w:left="720"/>
            </w:pPr>
            <w:r>
              <w:t>Debt %</w:t>
            </w:r>
          </w:p>
        </w:tc>
        <w:tc>
          <w:tcPr>
            <w:tcW w:w="1155" w:type="dxa"/>
          </w:tcPr>
          <w:p w14:paraId="52D8C35A" w14:textId="71A0E540"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67%</w:t>
            </w:r>
          </w:p>
        </w:tc>
        <w:tc>
          <w:tcPr>
            <w:tcW w:w="4335" w:type="dxa"/>
          </w:tcPr>
          <w:p w14:paraId="62E231F3" w14:textId="18844928"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1</w:t>
            </w:r>
          </w:p>
        </w:tc>
      </w:tr>
      <w:tr w:rsidR="3E8E639F" w14:paraId="22481C21" w14:textId="77777777" w:rsidTr="008A6BDD">
        <w:trPr>
          <w:trHeight w:val="288"/>
        </w:trPr>
        <w:tc>
          <w:tcPr>
            <w:cnfStyle w:val="001000000000" w:firstRow="0" w:lastRow="0" w:firstColumn="1" w:lastColumn="0" w:oddVBand="0" w:evenVBand="0" w:oddHBand="0" w:evenHBand="0" w:firstRowFirstColumn="0" w:firstRowLastColumn="0" w:lastRowFirstColumn="0" w:lastRowLastColumn="0"/>
            <w:tcW w:w="3795" w:type="dxa"/>
          </w:tcPr>
          <w:p w14:paraId="41122AFE" w14:textId="1444D34F" w:rsidR="3E8E639F" w:rsidRDefault="3E8E639F" w:rsidP="008A6BDD">
            <w:pPr>
              <w:spacing w:before="0" w:after="0" w:line="240" w:lineRule="auto"/>
              <w:ind w:left="720"/>
            </w:pPr>
            <w:r>
              <w:t>Debt Cost</w:t>
            </w:r>
          </w:p>
        </w:tc>
        <w:tc>
          <w:tcPr>
            <w:tcW w:w="1155" w:type="dxa"/>
          </w:tcPr>
          <w:p w14:paraId="27890AFE" w14:textId="2504F176" w:rsidR="3E8E639F" w:rsidRDefault="3E8E639F"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4.52%</w:t>
            </w:r>
          </w:p>
        </w:tc>
        <w:tc>
          <w:tcPr>
            <w:tcW w:w="4335" w:type="dxa"/>
          </w:tcPr>
          <w:p w14:paraId="3547A8C6" w14:textId="2DBEB684" w:rsidR="3E8E639F" w:rsidRDefault="3E8E639F" w:rsidP="008A6BDD">
            <w:pPr>
              <w:spacing w:before="0" w:after="0" w:line="240" w:lineRule="auto"/>
              <w:cnfStyle w:val="000000000000" w:firstRow="0" w:lastRow="0" w:firstColumn="0" w:lastColumn="0" w:oddVBand="0" w:evenVBand="0" w:oddHBand="0" w:evenHBand="0" w:firstRowFirstColumn="0" w:firstRowLastColumn="0" w:lastRowFirstColumn="0" w:lastRowLastColumn="0"/>
            </w:pPr>
            <w:r>
              <w:t>Table 1</w:t>
            </w:r>
          </w:p>
        </w:tc>
      </w:tr>
      <w:tr w:rsidR="3E8E639F" w14:paraId="43199231" w14:textId="77777777" w:rsidTr="008A6BD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795" w:type="dxa"/>
          </w:tcPr>
          <w:p w14:paraId="6FF8BAEC" w14:textId="5D59AF8D" w:rsidR="3E8E639F" w:rsidRDefault="3E8E639F" w:rsidP="008A6BDD">
            <w:pPr>
              <w:spacing w:before="0" w:after="0" w:line="240" w:lineRule="auto"/>
              <w:ind w:left="720"/>
            </w:pPr>
            <w:r>
              <w:t>Equity Cost</w:t>
            </w:r>
          </w:p>
        </w:tc>
        <w:tc>
          <w:tcPr>
            <w:tcW w:w="1155" w:type="dxa"/>
          </w:tcPr>
          <w:p w14:paraId="3F9CC7EB" w14:textId="7418ED4C" w:rsidR="3E8E639F" w:rsidRDefault="3E8E639F"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13.25</w:t>
            </w:r>
            <w:r w:rsidR="565D58FF" w:rsidRPr="0336CFFC">
              <w:t>%</w:t>
            </w:r>
          </w:p>
        </w:tc>
        <w:tc>
          <w:tcPr>
            <w:tcW w:w="4335" w:type="dxa"/>
          </w:tcPr>
          <w:p w14:paraId="365F3709" w14:textId="0D452F02" w:rsidR="3E8E639F" w:rsidRDefault="3E8E639F"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1</w:t>
            </w:r>
          </w:p>
        </w:tc>
      </w:tr>
    </w:tbl>
    <w:p w14:paraId="355D297B" w14:textId="07CBF4E7" w:rsidR="0048119C" w:rsidRDefault="5F5C2DD7" w:rsidP="008A6BDD">
      <w:pPr>
        <w:pStyle w:val="SeattleBody"/>
        <w:spacing w:line="240" w:lineRule="auto"/>
      </w:pPr>
      <w:r w:rsidRPr="008A6BDD">
        <w:rPr>
          <w:i/>
          <w:iCs/>
          <w:sz w:val="20"/>
          <w:szCs w:val="20"/>
        </w:rPr>
        <w:t>Source:  CEC 2015 Cost of New Renewable and Fossil Generat</w:t>
      </w:r>
      <w:r w:rsidR="5FF3FC8D" w:rsidRPr="008A6BDD">
        <w:rPr>
          <w:i/>
          <w:iCs/>
          <w:sz w:val="20"/>
          <w:szCs w:val="20"/>
        </w:rPr>
        <w:t>io</w:t>
      </w:r>
      <w:r w:rsidRPr="008A6BDD">
        <w:rPr>
          <w:i/>
          <w:iCs/>
          <w:sz w:val="20"/>
          <w:szCs w:val="20"/>
        </w:rPr>
        <w:t xml:space="preserve">n </w:t>
      </w:r>
      <w:r w:rsidR="5FF3FC8D" w:rsidRPr="008A6BDD">
        <w:rPr>
          <w:i/>
          <w:iCs/>
          <w:sz w:val="20"/>
          <w:szCs w:val="20"/>
        </w:rPr>
        <w:t xml:space="preserve">in </w:t>
      </w:r>
      <w:r w:rsidR="06D974C3" w:rsidRPr="008A6BDD">
        <w:rPr>
          <w:i/>
          <w:iCs/>
          <w:sz w:val="20"/>
          <w:szCs w:val="20"/>
        </w:rPr>
        <w:t>California</w:t>
      </w:r>
      <w:r w:rsidRPr="008A6BDD">
        <w:rPr>
          <w:i/>
          <w:iCs/>
          <w:sz w:val="20"/>
          <w:szCs w:val="20"/>
        </w:rPr>
        <w:t>, http://www.energy.ca.gov/2014publications/CEC-200-2014-003/index.html</w:t>
      </w:r>
      <w:r w:rsidR="0192AD6E" w:rsidRPr="008A6BDD">
        <w:rPr>
          <w:i/>
          <w:iCs/>
          <w:sz w:val="20"/>
          <w:szCs w:val="20"/>
        </w:rPr>
        <w:t xml:space="preserve">Table 8. </w:t>
      </w:r>
    </w:p>
    <w:p w14:paraId="787941A3" w14:textId="65C2BA7B" w:rsidR="0048119C" w:rsidRDefault="00813981" w:rsidP="008A6BDD">
      <w:pPr>
        <w:pStyle w:val="Caption"/>
      </w:pPr>
      <w:r>
        <w:lastRenderedPageBreak/>
        <w:t xml:space="preserve">Table </w:t>
      </w:r>
      <w:fldSimple w:instr=" SEQ Table \* ARABIC ">
        <w:r w:rsidR="006B2392">
          <w:rPr>
            <w:noProof/>
          </w:rPr>
          <w:t>11</w:t>
        </w:r>
      </w:fldSimple>
      <w:r>
        <w:t xml:space="preserve">:  </w:t>
      </w:r>
      <w:r w:rsidR="0192AD6E">
        <w:t xml:space="preserve">Power plant cost and performance assumptions for </w:t>
      </w:r>
      <w:r w:rsidR="53EB8094">
        <w:t xml:space="preserve">Combined Cycle </w:t>
      </w:r>
      <w:r w:rsidR="0192AD6E">
        <w:t>Combustion Turbine (</w:t>
      </w:r>
      <w:r w:rsidR="53EB8094">
        <w:t xml:space="preserve">No </w:t>
      </w:r>
      <w:r w:rsidR="29B1DBA4">
        <w:t>Duct Firing</w:t>
      </w:r>
      <w:r w:rsidR="0192AD6E" w:rsidRPr="41A517B2">
        <w:t>)</w:t>
      </w:r>
    </w:p>
    <w:tbl>
      <w:tblPr>
        <w:tblStyle w:val="ListTable3-Accent1"/>
        <w:tblW w:w="0" w:type="auto"/>
        <w:tblLook w:val="04A0" w:firstRow="1" w:lastRow="0" w:firstColumn="1" w:lastColumn="0" w:noHBand="0" w:noVBand="1"/>
        <w:tblCaption w:val=""/>
        <w:tblDescription w:val=""/>
      </w:tblPr>
      <w:tblGrid>
        <w:gridCol w:w="3518"/>
        <w:gridCol w:w="935"/>
        <w:gridCol w:w="4326"/>
      </w:tblGrid>
      <w:tr w:rsidR="20C8A259" w14:paraId="5CC81E66"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35A1AD6" w14:textId="704E03AA" w:rsidR="20C8A259" w:rsidRDefault="20C8A259" w:rsidP="008A6BDD">
            <w:pPr>
              <w:keepNext/>
              <w:spacing w:before="0" w:after="0" w:line="240" w:lineRule="auto"/>
            </w:pPr>
            <w:r w:rsidRPr="24E1C480">
              <w:t xml:space="preserve"> </w:t>
            </w:r>
            <w:r w:rsidR="3E655794" w:rsidRPr="3E655794">
              <w:t>Item</w:t>
            </w:r>
          </w:p>
        </w:tc>
        <w:tc>
          <w:tcPr>
            <w:tcW w:w="0" w:type="auto"/>
          </w:tcPr>
          <w:p w14:paraId="4F48E38C" w14:textId="4FB150AC" w:rsidR="20C8A259" w:rsidRDefault="3E655794" w:rsidP="008A6BDD">
            <w:pPr>
              <w:keepNext/>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Value</w:t>
            </w:r>
          </w:p>
        </w:tc>
        <w:tc>
          <w:tcPr>
            <w:tcW w:w="0" w:type="auto"/>
          </w:tcPr>
          <w:p w14:paraId="64BC0590" w14:textId="37C176D5" w:rsidR="20C8A259" w:rsidRDefault="3E655794" w:rsidP="008A6BDD">
            <w:pPr>
              <w:keepNext/>
              <w:spacing w:before="0" w:after="0" w:line="240" w:lineRule="auto"/>
              <w:cnfStyle w:val="100000000000" w:firstRow="1" w:lastRow="0" w:firstColumn="0" w:lastColumn="0" w:oddVBand="0" w:evenVBand="0" w:oddHBand="0" w:evenHBand="0" w:firstRowFirstColumn="0" w:firstRowLastColumn="0" w:lastRowFirstColumn="0" w:lastRowLastColumn="0"/>
            </w:pPr>
            <w:r>
              <w:t>Source Note</w:t>
            </w:r>
          </w:p>
        </w:tc>
      </w:tr>
      <w:tr w:rsidR="20C8A259" w14:paraId="171BED8A"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6D2571" w14:textId="5AF8F7BC" w:rsidR="20C8A259" w:rsidRDefault="20C8A259" w:rsidP="008A6BDD">
            <w:pPr>
              <w:keepNext/>
              <w:spacing w:before="0" w:after="0" w:line="240" w:lineRule="auto"/>
            </w:pPr>
            <w:r>
              <w:t>Operating Data</w:t>
            </w:r>
          </w:p>
        </w:tc>
        <w:tc>
          <w:tcPr>
            <w:tcW w:w="0" w:type="auto"/>
          </w:tcPr>
          <w:p w14:paraId="3A133E54" w14:textId="106CC89C"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24E1C480">
              <w:t xml:space="preserve"> </w:t>
            </w:r>
          </w:p>
        </w:tc>
        <w:tc>
          <w:tcPr>
            <w:tcW w:w="0" w:type="auto"/>
          </w:tcPr>
          <w:p w14:paraId="7F91E65D" w14:textId="7AB00EF1"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p>
        </w:tc>
      </w:tr>
      <w:tr w:rsidR="20C8A259" w14:paraId="551A497E"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25D5A87D" w14:textId="1F247A24" w:rsidR="20C8A259" w:rsidRDefault="20C8A259" w:rsidP="008A6BDD">
            <w:pPr>
              <w:keepNext/>
              <w:spacing w:before="0" w:after="0" w:line="240" w:lineRule="auto"/>
              <w:ind w:left="720"/>
            </w:pPr>
            <w:r>
              <w:t>Heat rate (Btu/kWh)</w:t>
            </w:r>
          </w:p>
        </w:tc>
        <w:tc>
          <w:tcPr>
            <w:tcW w:w="0" w:type="auto"/>
          </w:tcPr>
          <w:p w14:paraId="2CD7CB84" w14:textId="2B8AA2DB"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 xml:space="preserve">7,250 </w:t>
            </w:r>
          </w:p>
        </w:tc>
        <w:tc>
          <w:tcPr>
            <w:tcW w:w="0" w:type="auto"/>
          </w:tcPr>
          <w:p w14:paraId="61323E1E" w14:textId="57892C58"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Table 49</w:t>
            </w:r>
          </w:p>
        </w:tc>
      </w:tr>
      <w:tr w:rsidR="20C8A259" w14:paraId="731CF566"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1F14CD" w14:textId="6435C51D" w:rsidR="20C8A259" w:rsidRDefault="20C8A259" w:rsidP="008A6BDD">
            <w:pPr>
              <w:keepNext/>
              <w:spacing w:before="0" w:after="0" w:line="240" w:lineRule="auto"/>
              <w:ind w:left="720"/>
            </w:pPr>
            <w:r>
              <w:t>Lifetime (</w:t>
            </w:r>
            <w:proofErr w:type="spellStart"/>
            <w:r>
              <w:t>yrs</w:t>
            </w:r>
            <w:proofErr w:type="spellEnd"/>
            <w:r w:rsidRPr="25ED4B98">
              <w:t>)</w:t>
            </w:r>
          </w:p>
        </w:tc>
        <w:tc>
          <w:tcPr>
            <w:tcW w:w="0" w:type="auto"/>
          </w:tcPr>
          <w:p w14:paraId="642DA4CD" w14:textId="04672B21"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 xml:space="preserve">20 </w:t>
            </w:r>
          </w:p>
        </w:tc>
        <w:tc>
          <w:tcPr>
            <w:tcW w:w="0" w:type="auto"/>
          </w:tcPr>
          <w:p w14:paraId="52FBBA9D" w14:textId="676A85B4"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Table 14</w:t>
            </w:r>
          </w:p>
        </w:tc>
      </w:tr>
      <w:tr w:rsidR="20C8A259" w14:paraId="5EE7115F"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44338286" w14:textId="66DF4863" w:rsidR="20C8A259" w:rsidRDefault="20C8A259" w:rsidP="008A6BDD">
            <w:pPr>
              <w:keepNext/>
              <w:spacing w:before="0" w:after="0" w:line="240" w:lineRule="auto"/>
            </w:pPr>
            <w:r>
              <w:t>Costs</w:t>
            </w:r>
          </w:p>
        </w:tc>
        <w:tc>
          <w:tcPr>
            <w:tcW w:w="0" w:type="auto"/>
          </w:tcPr>
          <w:p w14:paraId="32A58648" w14:textId="14A4256D"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4E1C480">
              <w:t xml:space="preserve"> </w:t>
            </w:r>
          </w:p>
        </w:tc>
        <w:tc>
          <w:tcPr>
            <w:tcW w:w="0" w:type="auto"/>
          </w:tcPr>
          <w:p w14:paraId="03C2D693" w14:textId="7FC67745"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p>
        </w:tc>
      </w:tr>
      <w:tr w:rsidR="20C8A259" w14:paraId="38C84936"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CAB8A5" w14:textId="74CA5E42" w:rsidR="20C8A259" w:rsidRDefault="20C8A259" w:rsidP="008A6BDD">
            <w:pPr>
              <w:keepNext/>
              <w:spacing w:before="0" w:after="0" w:line="240" w:lineRule="auto"/>
              <w:ind w:left="720"/>
            </w:pPr>
            <w:r>
              <w:t>Installed Cost ($/kW)</w:t>
            </w:r>
          </w:p>
        </w:tc>
        <w:tc>
          <w:tcPr>
            <w:tcW w:w="0" w:type="auto"/>
          </w:tcPr>
          <w:p w14:paraId="0999F6BA" w14:textId="362A35D6"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$1,088</w:t>
            </w:r>
          </w:p>
        </w:tc>
        <w:tc>
          <w:tcPr>
            <w:tcW w:w="0" w:type="auto"/>
          </w:tcPr>
          <w:p w14:paraId="223903ED" w14:textId="47741942"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Table 3, Merchant, 2013 nominal</w:t>
            </w:r>
          </w:p>
        </w:tc>
      </w:tr>
      <w:tr w:rsidR="20C8A259" w14:paraId="08E254B7"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16269997" w14:textId="6435C51D" w:rsidR="20C8A259" w:rsidRDefault="20C8A259" w:rsidP="008A6BDD">
            <w:pPr>
              <w:keepNext/>
              <w:spacing w:before="0" w:after="0" w:line="240" w:lineRule="auto"/>
              <w:ind w:left="720"/>
            </w:pPr>
            <w:r>
              <w:t>Fixed O&amp;M ($/kW-</w:t>
            </w:r>
            <w:proofErr w:type="spellStart"/>
            <w:r>
              <w:t>yr</w:t>
            </w:r>
            <w:proofErr w:type="spellEnd"/>
            <w:r w:rsidRPr="25ED4B98">
              <w:t>)</w:t>
            </w:r>
          </w:p>
        </w:tc>
        <w:tc>
          <w:tcPr>
            <w:tcW w:w="0" w:type="auto"/>
          </w:tcPr>
          <w:p w14:paraId="6B8FFA25" w14:textId="702AD7FC"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$32.69</w:t>
            </w:r>
          </w:p>
        </w:tc>
        <w:tc>
          <w:tcPr>
            <w:tcW w:w="0" w:type="auto"/>
          </w:tcPr>
          <w:p w14:paraId="0FAEC261" w14:textId="22ECE4CF"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Table 57, 2011 Nominal</w:t>
            </w:r>
          </w:p>
        </w:tc>
      </w:tr>
      <w:tr w:rsidR="20C8A259" w14:paraId="43EDDB8F"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5B03CF" w14:textId="1D968762" w:rsidR="20C8A259" w:rsidRDefault="20C8A259" w:rsidP="008A6BDD">
            <w:pPr>
              <w:keepNext/>
              <w:spacing w:before="0" w:after="0" w:line="240" w:lineRule="auto"/>
              <w:ind w:left="720"/>
            </w:pPr>
            <w:r>
              <w:t>Variable O&amp;M ($/MWh)</w:t>
            </w:r>
          </w:p>
        </w:tc>
        <w:tc>
          <w:tcPr>
            <w:tcW w:w="0" w:type="auto"/>
          </w:tcPr>
          <w:p w14:paraId="1CAB173D" w14:textId="5C885161"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$0.58</w:t>
            </w:r>
          </w:p>
        </w:tc>
        <w:tc>
          <w:tcPr>
            <w:tcW w:w="0" w:type="auto"/>
          </w:tcPr>
          <w:p w14:paraId="6488F904" w14:textId="7CA75D16"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 Table 58, 2011 Nominal</w:t>
            </w:r>
          </w:p>
        </w:tc>
      </w:tr>
      <w:tr w:rsidR="20C8A259" w14:paraId="76F907AA"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35212178" w14:textId="04D01EF6" w:rsidR="20C8A259" w:rsidRDefault="20C8A259" w:rsidP="008A6BDD">
            <w:pPr>
              <w:keepNext/>
              <w:spacing w:before="0" w:after="0" w:line="240" w:lineRule="auto"/>
              <w:ind w:left="720"/>
            </w:pPr>
            <w:r>
              <w:t>Plant Cost Escalation Rate</w:t>
            </w:r>
          </w:p>
        </w:tc>
        <w:tc>
          <w:tcPr>
            <w:tcW w:w="0" w:type="auto"/>
          </w:tcPr>
          <w:p w14:paraId="1BC0A602" w14:textId="15F2C798"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2.5%</w:t>
            </w:r>
          </w:p>
        </w:tc>
        <w:tc>
          <w:tcPr>
            <w:tcW w:w="0" w:type="auto"/>
          </w:tcPr>
          <w:p w14:paraId="050634A4" w14:textId="6435C51D"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proofErr w:type="spellStart"/>
            <w:r>
              <w:t>pg</w:t>
            </w:r>
            <w:proofErr w:type="spellEnd"/>
            <w:r>
              <w:t xml:space="preserve"> 138; 2% inflation + 0.5% real escalation</w:t>
            </w:r>
          </w:p>
        </w:tc>
      </w:tr>
      <w:tr w:rsidR="20C8A259" w14:paraId="79DC4760"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07CEA9" w14:textId="1323D4B7" w:rsidR="20C8A259" w:rsidRDefault="20C8A259" w:rsidP="008A6BDD">
            <w:pPr>
              <w:keepNext/>
              <w:spacing w:before="0" w:after="0" w:line="240" w:lineRule="auto"/>
              <w:ind w:left="720"/>
            </w:pPr>
            <w:r>
              <w:t xml:space="preserve">Cost Basis Year </w:t>
            </w:r>
          </w:p>
        </w:tc>
        <w:tc>
          <w:tcPr>
            <w:tcW w:w="0" w:type="auto"/>
          </w:tcPr>
          <w:p w14:paraId="4EC982A1" w14:textId="1250F618"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2013</w:t>
            </w:r>
          </w:p>
        </w:tc>
        <w:tc>
          <w:tcPr>
            <w:tcW w:w="0" w:type="auto"/>
          </w:tcPr>
          <w:p w14:paraId="18549E84" w14:textId="0DB24A7A"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Table 3, Merchant</w:t>
            </w:r>
          </w:p>
        </w:tc>
      </w:tr>
      <w:tr w:rsidR="20C8A259" w14:paraId="59BE8EF7"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485053A4" w14:textId="7A55EB79" w:rsidR="20C8A259" w:rsidRDefault="20C8A259" w:rsidP="008A6BDD">
            <w:pPr>
              <w:keepNext/>
              <w:spacing w:before="0" w:after="0" w:line="240" w:lineRule="auto"/>
            </w:pPr>
            <w:r>
              <w:t>Financing</w:t>
            </w:r>
          </w:p>
        </w:tc>
        <w:tc>
          <w:tcPr>
            <w:tcW w:w="0" w:type="auto"/>
          </w:tcPr>
          <w:p w14:paraId="239CB691" w14:textId="5539C29D"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4E1C480">
              <w:t xml:space="preserve"> </w:t>
            </w:r>
          </w:p>
        </w:tc>
        <w:tc>
          <w:tcPr>
            <w:tcW w:w="0" w:type="auto"/>
          </w:tcPr>
          <w:p w14:paraId="4D587D9F" w14:textId="478A607E"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p>
        </w:tc>
      </w:tr>
      <w:tr w:rsidR="20C8A259" w14:paraId="4D225147"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E765C" w14:textId="5A81EAAE" w:rsidR="20C8A259" w:rsidRDefault="20C8A259" w:rsidP="008A6BDD">
            <w:pPr>
              <w:keepNext/>
              <w:spacing w:before="0" w:after="0" w:line="240" w:lineRule="auto"/>
              <w:ind w:left="720"/>
            </w:pPr>
            <w:r>
              <w:t>Debt %</w:t>
            </w:r>
          </w:p>
        </w:tc>
        <w:tc>
          <w:tcPr>
            <w:tcW w:w="0" w:type="auto"/>
          </w:tcPr>
          <w:p w14:paraId="261291BB" w14:textId="7DED5B34"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67%</w:t>
            </w:r>
          </w:p>
        </w:tc>
        <w:tc>
          <w:tcPr>
            <w:tcW w:w="0" w:type="auto"/>
          </w:tcPr>
          <w:p w14:paraId="62974CE8" w14:textId="21AAAAF6"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 Table 1</w:t>
            </w:r>
          </w:p>
        </w:tc>
      </w:tr>
      <w:tr w:rsidR="20C8A259" w14:paraId="7435F86F"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1E403F47" w14:textId="34FB93E4" w:rsidR="20C8A259" w:rsidRDefault="20C8A259" w:rsidP="008A6BDD">
            <w:pPr>
              <w:keepNext/>
              <w:spacing w:before="0" w:after="0" w:line="240" w:lineRule="auto"/>
              <w:ind w:left="720"/>
            </w:pPr>
            <w:r>
              <w:t>Debt Cost</w:t>
            </w:r>
          </w:p>
        </w:tc>
        <w:tc>
          <w:tcPr>
            <w:tcW w:w="0" w:type="auto"/>
          </w:tcPr>
          <w:p w14:paraId="08273320" w14:textId="604F2992"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4.52%</w:t>
            </w:r>
          </w:p>
        </w:tc>
        <w:tc>
          <w:tcPr>
            <w:tcW w:w="0" w:type="auto"/>
          </w:tcPr>
          <w:p w14:paraId="727B7C87" w14:textId="14742632"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 Table 1</w:t>
            </w:r>
          </w:p>
        </w:tc>
      </w:tr>
      <w:tr w:rsidR="20C8A259" w14:paraId="12450B83"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0A7CEE" w14:textId="22B1BFC6" w:rsidR="20C8A259" w:rsidRDefault="20C8A259" w:rsidP="008A6BDD">
            <w:pPr>
              <w:keepNext/>
              <w:spacing w:before="0" w:after="0" w:line="240" w:lineRule="auto"/>
              <w:ind w:left="720"/>
            </w:pPr>
            <w:r>
              <w:t>Equity Cost</w:t>
            </w:r>
          </w:p>
        </w:tc>
        <w:tc>
          <w:tcPr>
            <w:tcW w:w="0" w:type="auto"/>
          </w:tcPr>
          <w:p w14:paraId="7D782EDB" w14:textId="5DA7F3BD" w:rsidR="20C8A259" w:rsidRDefault="20C8A259" w:rsidP="008A6BDD">
            <w:pPr>
              <w:keepNext/>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13.25%</w:t>
            </w:r>
          </w:p>
        </w:tc>
        <w:tc>
          <w:tcPr>
            <w:tcW w:w="0" w:type="auto"/>
          </w:tcPr>
          <w:p w14:paraId="7995DE72" w14:textId="1321693D" w:rsidR="20C8A259" w:rsidRDefault="20C8A259" w:rsidP="008A6BDD">
            <w:pPr>
              <w:keepNext/>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 Table 1</w:t>
            </w:r>
          </w:p>
        </w:tc>
      </w:tr>
      <w:tr w:rsidR="20C8A259" w14:paraId="45464E0E" w14:textId="77777777" w:rsidTr="008A6BDD">
        <w:tc>
          <w:tcPr>
            <w:cnfStyle w:val="001000000000" w:firstRow="0" w:lastRow="0" w:firstColumn="1" w:lastColumn="0" w:oddVBand="0" w:evenVBand="0" w:oddHBand="0" w:evenHBand="0" w:firstRowFirstColumn="0" w:firstRowLastColumn="0" w:lastRowFirstColumn="0" w:lastRowLastColumn="0"/>
            <w:tcW w:w="0" w:type="auto"/>
          </w:tcPr>
          <w:p w14:paraId="51EA801A" w14:textId="0B619AEC" w:rsidR="20C8A259" w:rsidRDefault="20C8A259" w:rsidP="008A6BDD">
            <w:pPr>
              <w:keepNext/>
              <w:spacing w:before="0" w:after="0" w:line="240" w:lineRule="auto"/>
            </w:pPr>
          </w:p>
        </w:tc>
        <w:tc>
          <w:tcPr>
            <w:tcW w:w="0" w:type="auto"/>
          </w:tcPr>
          <w:p w14:paraId="3803B034" w14:textId="23B59699" w:rsidR="20C8A259" w:rsidRDefault="20C8A259" w:rsidP="008A6BDD">
            <w:pPr>
              <w:keepNext/>
              <w:spacing w:before="0" w:after="0" w:line="24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7B3FF9B" w14:textId="544A309C" w:rsidR="20C8A259" w:rsidRDefault="20C8A259" w:rsidP="008A6BDD">
            <w:pPr>
              <w:keepNext/>
              <w:spacing w:before="0" w:after="0" w:line="240" w:lineRule="auto"/>
              <w:cnfStyle w:val="000000000000" w:firstRow="0" w:lastRow="0" w:firstColumn="0" w:lastColumn="0" w:oddVBand="0" w:evenVBand="0" w:oddHBand="0" w:evenHBand="0" w:firstRowFirstColumn="0" w:firstRowLastColumn="0" w:lastRowFirstColumn="0" w:lastRowLastColumn="0"/>
            </w:pPr>
          </w:p>
        </w:tc>
      </w:tr>
      <w:tr w:rsidR="20C8A259" w14:paraId="74764354"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EDF569" w14:textId="2ED44ADC" w:rsidR="20C8A259" w:rsidRDefault="20C8A259" w:rsidP="008A6BDD">
            <w:pPr>
              <w:spacing w:before="0" w:after="0" w:line="240" w:lineRule="auto"/>
            </w:pPr>
            <w:r>
              <w:t>Cost Basis for O&amp;M Costs</w:t>
            </w:r>
          </w:p>
        </w:tc>
        <w:tc>
          <w:tcPr>
            <w:tcW w:w="0" w:type="auto"/>
          </w:tcPr>
          <w:p w14:paraId="77626CF2" w14:textId="4DEDE18E" w:rsidR="20C8A259" w:rsidRDefault="20C8A259"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2011</w:t>
            </w:r>
          </w:p>
        </w:tc>
        <w:tc>
          <w:tcPr>
            <w:tcW w:w="0" w:type="auto"/>
          </w:tcPr>
          <w:p w14:paraId="2652C8E4" w14:textId="3BB26ED4" w:rsidR="20C8A259" w:rsidRDefault="20C8A259" w:rsidP="008A6BDD">
            <w:pPr>
              <w:spacing w:before="0" w:after="0" w:line="240" w:lineRule="auto"/>
              <w:cnfStyle w:val="000000100000" w:firstRow="0" w:lastRow="0" w:firstColumn="0" w:lastColumn="0" w:oddVBand="0" w:evenVBand="0" w:oddHBand="1" w:evenHBand="0" w:firstRowFirstColumn="0" w:firstRowLastColumn="0" w:lastRowFirstColumn="0" w:lastRowLastColumn="0"/>
            </w:pPr>
            <w:r>
              <w:t>Table 57 and Table 58</w:t>
            </w:r>
          </w:p>
        </w:tc>
      </w:tr>
    </w:tbl>
    <w:p w14:paraId="463AA2F0" w14:textId="3C31933D" w:rsidR="2A86E694" w:rsidRDefault="2A86E694" w:rsidP="008A6BDD">
      <w:pPr>
        <w:pStyle w:val="SeattleBody"/>
      </w:pPr>
      <w:r w:rsidRPr="008A6BDD">
        <w:rPr>
          <w:i/>
          <w:iCs/>
          <w:sz w:val="20"/>
          <w:szCs w:val="20"/>
        </w:rPr>
        <w:t xml:space="preserve">Source:  CEC 2015 Cost of New Renewable and Fossil Generation in California, http://www.energy.ca.gov/2014publications/CEC-200-2014-003/index.htmlTable 8. </w:t>
      </w:r>
    </w:p>
    <w:p w14:paraId="68FA140E" w14:textId="63E828BE" w:rsidR="00F03153" w:rsidRDefault="00F03153" w:rsidP="00F03153">
      <w:pPr>
        <w:pStyle w:val="Caption"/>
      </w:pPr>
    </w:p>
    <w:p w14:paraId="37D51EF2" w14:textId="77777777" w:rsidR="00F03153" w:rsidRDefault="00925DA2" w:rsidP="008A6BDD">
      <w:pPr>
        <w:pStyle w:val="Heading2"/>
      </w:pPr>
      <w:bookmarkStart w:id="62" w:name="_Toc271574655"/>
      <w:bookmarkStart w:id="63" w:name="_Toc271575304"/>
      <w:bookmarkStart w:id="64" w:name="_Toc493516880"/>
      <w:r>
        <w:t xml:space="preserve">Generation </w:t>
      </w:r>
      <w:r w:rsidR="00F03153">
        <w:t>Loss Factors</w:t>
      </w:r>
      <w:bookmarkEnd w:id="64"/>
      <w:r w:rsidR="00F03153" w:rsidRPr="0A8740F7">
        <w:t xml:space="preserve"> </w:t>
      </w:r>
    </w:p>
    <w:p w14:paraId="0610F658" w14:textId="77777777" w:rsidR="00F03153" w:rsidRPr="00215903" w:rsidRDefault="00F03153" w:rsidP="00F03153">
      <w:r>
        <w:t xml:space="preserve">The updated avoided costs incorporate loss factors from the DR proceeding.  The capacity loss factors are applied to the capacity avoided costs to reflect the fact that </w:t>
      </w:r>
      <w:r w:rsidR="009B1072">
        <w:t>dispatched generation capacity is greater than metered loads</w:t>
      </w:r>
      <w:r>
        <w:t xml:space="preserve"> because of losses.  The </w:t>
      </w:r>
      <w:r w:rsidR="009B1072">
        <w:t>adjustments assume that the metered load is at the</w:t>
      </w:r>
      <w:r>
        <w:t xml:space="preserve"> secondary voltage level.  The loss factors are representative of average peak losses, not incremental losses.  </w:t>
      </w:r>
    </w:p>
    <w:p w14:paraId="53C74BEF" w14:textId="4C4D8C0D"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12</w:t>
      </w:r>
      <w:r w:rsidR="00813981" w:rsidRPr="008A6BDD">
        <w:fldChar w:fldCharType="end"/>
      </w:r>
      <w:r>
        <w:t xml:space="preserve">:  </w:t>
      </w:r>
      <w:r w:rsidR="009B1072">
        <w:t>Generation c</w:t>
      </w:r>
      <w:r>
        <w:t>apacity loss factors</w:t>
      </w:r>
    </w:p>
    <w:tbl>
      <w:tblPr>
        <w:tblStyle w:val="ListTable3-Accent1"/>
        <w:tblW w:w="0" w:type="auto"/>
        <w:tblLook w:val="04A0" w:firstRow="1" w:lastRow="0" w:firstColumn="1" w:lastColumn="0" w:noHBand="0" w:noVBand="1"/>
      </w:tblPr>
      <w:tblGrid>
        <w:gridCol w:w="2270"/>
        <w:gridCol w:w="783"/>
        <w:gridCol w:w="764"/>
        <w:gridCol w:w="920"/>
      </w:tblGrid>
      <w:tr w:rsidR="00F03153" w:rsidRPr="00856BC0" w14:paraId="464BDA72" w14:textId="77777777" w:rsidTr="001560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FB8F1FC" w14:textId="77777777" w:rsidR="00F03153" w:rsidRPr="0034779F" w:rsidRDefault="00F03153" w:rsidP="00A14622">
            <w:pPr>
              <w:spacing w:before="0" w:after="0" w:line="240" w:lineRule="auto"/>
            </w:pPr>
          </w:p>
        </w:tc>
        <w:tc>
          <w:tcPr>
            <w:tcW w:w="0" w:type="auto"/>
          </w:tcPr>
          <w:p w14:paraId="15280214"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PG&amp;E</w:t>
            </w:r>
          </w:p>
        </w:tc>
        <w:tc>
          <w:tcPr>
            <w:tcW w:w="0" w:type="auto"/>
          </w:tcPr>
          <w:p w14:paraId="3AE46F37"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tcW w:w="0" w:type="auto"/>
          </w:tcPr>
          <w:p w14:paraId="688B626D"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SDG&amp;E</w:t>
            </w:r>
          </w:p>
        </w:tc>
      </w:tr>
      <w:tr w:rsidR="00F03153" w:rsidRPr="00856BC0" w14:paraId="26410575"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82200" w14:textId="77777777" w:rsidR="00F03153" w:rsidRPr="0034779F" w:rsidRDefault="00F03153" w:rsidP="00A14622">
            <w:pPr>
              <w:spacing w:before="0" w:after="0" w:line="240" w:lineRule="auto"/>
            </w:pPr>
            <w:r>
              <w:t>Generation to meter</w:t>
            </w:r>
          </w:p>
        </w:tc>
        <w:tc>
          <w:tcPr>
            <w:tcW w:w="0" w:type="auto"/>
          </w:tcPr>
          <w:p w14:paraId="3E0D4AFE"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1.109</w:t>
            </w:r>
          </w:p>
        </w:tc>
        <w:tc>
          <w:tcPr>
            <w:tcW w:w="0" w:type="auto"/>
          </w:tcPr>
          <w:p w14:paraId="1F02C8D1"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1.084</w:t>
            </w:r>
          </w:p>
        </w:tc>
        <w:tc>
          <w:tcPr>
            <w:tcW w:w="0" w:type="auto"/>
          </w:tcPr>
          <w:p w14:paraId="48DECBE6"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1.081</w:t>
            </w:r>
          </w:p>
        </w:tc>
      </w:tr>
    </w:tbl>
    <w:p w14:paraId="277B173F" w14:textId="77777777" w:rsidR="00F03153" w:rsidRDefault="00F03153" w:rsidP="00F03153">
      <w:pPr>
        <w:pStyle w:val="Caption"/>
      </w:pPr>
      <w:bookmarkStart w:id="65" w:name="_Ref278711682"/>
    </w:p>
    <w:p w14:paraId="38379923" w14:textId="77777777" w:rsidR="00F03153" w:rsidRDefault="00F03153" w:rsidP="00F03153">
      <w:r>
        <w:t xml:space="preserve">The energy loss factors are applied to the electricity energy costs to reflect energy losses down to the customer secondary meter.  The loss factors vary by utility time of user period, and represent average losses in each </w:t>
      </w:r>
      <w:proofErr w:type="gramStart"/>
      <w:r>
        <w:t>time period</w:t>
      </w:r>
      <w:proofErr w:type="gramEnd"/>
      <w:r>
        <w:t xml:space="preserve">.  </w:t>
      </w:r>
    </w:p>
    <w:p w14:paraId="47FAB7F8" w14:textId="77777777" w:rsidR="00F03153" w:rsidRPr="00527860" w:rsidRDefault="00F03153" w:rsidP="00F03153">
      <w:pPr>
        <w:rPr>
          <w:sz w:val="22"/>
          <w:szCs w:val="22"/>
        </w:rPr>
      </w:pPr>
      <w:r>
        <w:tab/>
      </w:r>
      <w:r w:rsidRPr="00527860">
        <w:rPr>
          <w:sz w:val="22"/>
          <w:szCs w:val="22"/>
        </w:rPr>
        <w:t>Energy Generated[h] = Metered Load[h] * Energy Loss Factor[TOU]</w:t>
      </w:r>
    </w:p>
    <w:p w14:paraId="78708047" w14:textId="77777777" w:rsidR="00F03153" w:rsidRDefault="00F03153" w:rsidP="00F03153">
      <w:pPr>
        <w:rPr>
          <w:sz w:val="22"/>
          <w:szCs w:val="22"/>
        </w:rPr>
      </w:pPr>
      <w:r w:rsidRPr="00527860">
        <w:rPr>
          <w:sz w:val="22"/>
          <w:szCs w:val="22"/>
        </w:rPr>
        <w:tab/>
        <w:t>Cost of Energy Losses = Energy Cost[h] * Metered Load [h] * (Energy Loss Factor[TOU] – 1)</w:t>
      </w:r>
    </w:p>
    <w:p w14:paraId="0EF6262C" w14:textId="77777777" w:rsidR="00F03153" w:rsidRPr="00527860" w:rsidRDefault="00F03153" w:rsidP="00F03153">
      <w:pPr>
        <w:rPr>
          <w:sz w:val="22"/>
          <w:szCs w:val="22"/>
        </w:rPr>
      </w:pPr>
      <w:r>
        <w:rPr>
          <w:sz w:val="22"/>
          <w:szCs w:val="22"/>
        </w:rPr>
        <w:tab/>
        <w:t>where h = hour, TOU = TOU period corresponding to hour h.</w:t>
      </w:r>
    </w:p>
    <w:p w14:paraId="14231B90" w14:textId="7F4C91C4"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13</w:t>
      </w:r>
      <w:r w:rsidR="00813981" w:rsidRPr="008A6BDD">
        <w:fldChar w:fldCharType="end"/>
      </w:r>
      <w:bookmarkEnd w:id="65"/>
      <w:r>
        <w:t>. Marginal energy loss factors by time-of-use period and utility.</w:t>
      </w:r>
    </w:p>
    <w:tbl>
      <w:tblPr>
        <w:tblStyle w:val="ListTable3-Accent1"/>
        <w:tblW w:w="4040" w:type="pct"/>
        <w:tblLook w:val="00A0" w:firstRow="1" w:lastRow="0" w:firstColumn="1" w:lastColumn="0" w:noHBand="0" w:noVBand="0"/>
      </w:tblPr>
      <w:tblGrid>
        <w:gridCol w:w="2783"/>
        <w:gridCol w:w="1531"/>
        <w:gridCol w:w="1532"/>
        <w:gridCol w:w="1709"/>
      </w:tblGrid>
      <w:tr w:rsidR="00156051" w:rsidRPr="00D05611" w14:paraId="77F080A0" w14:textId="77777777" w:rsidTr="001560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2" w:type="pct"/>
          </w:tcPr>
          <w:p w14:paraId="21E511EC" w14:textId="77777777" w:rsidR="00F03153" w:rsidRPr="0034779F" w:rsidRDefault="00F03153" w:rsidP="00A14622">
            <w:pPr>
              <w:keepNext/>
              <w:keepLines/>
              <w:spacing w:before="0" w:after="0" w:line="240" w:lineRule="auto"/>
            </w:pPr>
            <w:proofErr w:type="gramStart"/>
            <w:r w:rsidRPr="0034779F">
              <w:t>Time Period</w:t>
            </w:r>
            <w:proofErr w:type="gramEnd"/>
          </w:p>
        </w:tc>
        <w:tc>
          <w:tcPr>
            <w:cnfStyle w:val="000010000000" w:firstRow="0" w:lastRow="0" w:firstColumn="0" w:lastColumn="0" w:oddVBand="1" w:evenVBand="0" w:oddHBand="0" w:evenHBand="0" w:firstRowFirstColumn="0" w:firstRowLastColumn="0" w:lastRowFirstColumn="0" w:lastRowLastColumn="0"/>
            <w:tcW w:w="1013" w:type="pct"/>
          </w:tcPr>
          <w:p w14:paraId="6BED3D75" w14:textId="77777777" w:rsidR="00F03153" w:rsidRPr="0034779F" w:rsidRDefault="00F03153" w:rsidP="008A6BDD">
            <w:pPr>
              <w:keepNext/>
              <w:keepLines/>
              <w:spacing w:before="0" w:after="0" w:line="240" w:lineRule="auto"/>
              <w:jc w:val="center"/>
            </w:pPr>
            <w:r w:rsidRPr="0034779F">
              <w:t>PG&amp;E</w:t>
            </w:r>
          </w:p>
        </w:tc>
        <w:tc>
          <w:tcPr>
            <w:tcW w:w="1014" w:type="pct"/>
          </w:tcPr>
          <w:p w14:paraId="075BB096" w14:textId="77777777" w:rsidR="00F03153" w:rsidRPr="0034779F" w:rsidRDefault="00F03153"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cnfStyle w:val="000010000000" w:firstRow="0" w:lastRow="0" w:firstColumn="0" w:lastColumn="0" w:oddVBand="1" w:evenVBand="0" w:oddHBand="0" w:evenHBand="0" w:firstRowFirstColumn="0" w:firstRowLastColumn="0" w:lastRowFirstColumn="0" w:lastRowLastColumn="0"/>
            <w:tcW w:w="1131" w:type="pct"/>
          </w:tcPr>
          <w:p w14:paraId="6392205D" w14:textId="77777777" w:rsidR="00F03153" w:rsidRPr="0034779F" w:rsidRDefault="00F03153" w:rsidP="008A6BDD">
            <w:pPr>
              <w:keepNext/>
              <w:keepLines/>
              <w:spacing w:before="0" w:after="0" w:line="240" w:lineRule="auto"/>
              <w:jc w:val="center"/>
            </w:pPr>
            <w:r w:rsidRPr="0034779F">
              <w:t>SDG&amp;E</w:t>
            </w:r>
          </w:p>
        </w:tc>
      </w:tr>
      <w:tr w:rsidR="00156051" w:rsidRPr="00D05611" w14:paraId="352DCA9C"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60836918" w14:textId="77777777" w:rsidR="00F03153" w:rsidRPr="0034779F" w:rsidRDefault="00F03153" w:rsidP="00A14622">
            <w:pPr>
              <w:keepNext/>
              <w:keepLines/>
              <w:spacing w:before="0" w:after="0" w:line="240" w:lineRule="auto"/>
            </w:pPr>
            <w:r w:rsidRPr="0034779F">
              <w:t>Summer Peak</w:t>
            </w:r>
          </w:p>
        </w:tc>
        <w:tc>
          <w:tcPr>
            <w:cnfStyle w:val="000010000000" w:firstRow="0" w:lastRow="0" w:firstColumn="0" w:lastColumn="0" w:oddVBand="1" w:evenVBand="0" w:oddHBand="0" w:evenHBand="0" w:firstRowFirstColumn="0" w:firstRowLastColumn="0" w:lastRowFirstColumn="0" w:lastRowLastColumn="0"/>
            <w:tcW w:w="1013" w:type="pct"/>
          </w:tcPr>
          <w:p w14:paraId="2C639802" w14:textId="77777777" w:rsidR="00F03153" w:rsidRPr="00D05611" w:rsidRDefault="00F03153" w:rsidP="008A6BDD">
            <w:pPr>
              <w:keepNext/>
              <w:keepLines/>
              <w:spacing w:before="0" w:after="0" w:line="240" w:lineRule="auto"/>
              <w:jc w:val="center"/>
            </w:pPr>
            <w:r w:rsidRPr="00D05611">
              <w:t>1.109</w:t>
            </w:r>
          </w:p>
        </w:tc>
        <w:tc>
          <w:tcPr>
            <w:tcW w:w="1014" w:type="pct"/>
          </w:tcPr>
          <w:p w14:paraId="03CB59D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1.084</w:t>
            </w:r>
          </w:p>
        </w:tc>
        <w:tc>
          <w:tcPr>
            <w:cnfStyle w:val="000010000000" w:firstRow="0" w:lastRow="0" w:firstColumn="0" w:lastColumn="0" w:oddVBand="1" w:evenVBand="0" w:oddHBand="0" w:evenHBand="0" w:firstRowFirstColumn="0" w:firstRowLastColumn="0" w:lastRowFirstColumn="0" w:lastRowLastColumn="0"/>
            <w:tcW w:w="1131" w:type="pct"/>
          </w:tcPr>
          <w:p w14:paraId="2B429A7F" w14:textId="77777777" w:rsidR="00F03153" w:rsidRPr="0034779F" w:rsidRDefault="00F03153" w:rsidP="008A6BDD">
            <w:pPr>
              <w:keepNext/>
              <w:keepLines/>
              <w:spacing w:before="0" w:after="0" w:line="240" w:lineRule="auto"/>
              <w:jc w:val="center"/>
            </w:pPr>
            <w:r w:rsidRPr="0034779F">
              <w:t>1.081</w:t>
            </w:r>
          </w:p>
        </w:tc>
      </w:tr>
      <w:tr w:rsidR="00156051" w:rsidRPr="00D05611" w14:paraId="74722025"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38C29FA9" w14:textId="77777777" w:rsidR="00F03153" w:rsidRPr="0034779F" w:rsidRDefault="00F03153" w:rsidP="00A14622">
            <w:pPr>
              <w:keepNext/>
              <w:keepLines/>
              <w:spacing w:before="0" w:after="0" w:line="240" w:lineRule="auto"/>
            </w:pPr>
            <w:r w:rsidRPr="0034779F">
              <w:t>Summer Shoulder</w:t>
            </w:r>
          </w:p>
        </w:tc>
        <w:tc>
          <w:tcPr>
            <w:cnfStyle w:val="000010000000" w:firstRow="0" w:lastRow="0" w:firstColumn="0" w:lastColumn="0" w:oddVBand="1" w:evenVBand="0" w:oddHBand="0" w:evenHBand="0" w:firstRowFirstColumn="0" w:firstRowLastColumn="0" w:lastRowFirstColumn="0" w:lastRowLastColumn="0"/>
            <w:tcW w:w="1013" w:type="pct"/>
          </w:tcPr>
          <w:p w14:paraId="1D73D9D5" w14:textId="77777777" w:rsidR="00F03153" w:rsidRPr="00D05611" w:rsidRDefault="00F03153" w:rsidP="008A6BDD">
            <w:pPr>
              <w:keepNext/>
              <w:keepLines/>
              <w:spacing w:before="0" w:after="0" w:line="240" w:lineRule="auto"/>
              <w:jc w:val="center"/>
            </w:pPr>
            <w:r w:rsidRPr="00D05611">
              <w:t>1.073</w:t>
            </w:r>
          </w:p>
        </w:tc>
        <w:tc>
          <w:tcPr>
            <w:tcW w:w="1014" w:type="pct"/>
          </w:tcPr>
          <w:p w14:paraId="00788624"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1.080</w:t>
            </w:r>
          </w:p>
        </w:tc>
        <w:tc>
          <w:tcPr>
            <w:cnfStyle w:val="000010000000" w:firstRow="0" w:lastRow="0" w:firstColumn="0" w:lastColumn="0" w:oddVBand="1" w:evenVBand="0" w:oddHBand="0" w:evenHBand="0" w:firstRowFirstColumn="0" w:firstRowLastColumn="0" w:lastRowFirstColumn="0" w:lastRowLastColumn="0"/>
            <w:tcW w:w="1131" w:type="pct"/>
          </w:tcPr>
          <w:p w14:paraId="2ABECAAD" w14:textId="77777777" w:rsidR="00F03153" w:rsidRPr="0034779F" w:rsidRDefault="00F03153" w:rsidP="008A6BDD">
            <w:pPr>
              <w:keepNext/>
              <w:keepLines/>
              <w:spacing w:before="0" w:after="0" w:line="240" w:lineRule="auto"/>
              <w:jc w:val="center"/>
            </w:pPr>
            <w:r w:rsidRPr="0034779F">
              <w:t>1.077</w:t>
            </w:r>
          </w:p>
        </w:tc>
      </w:tr>
      <w:tr w:rsidR="00156051" w:rsidRPr="00D05611" w14:paraId="561A5FD9"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594813DA" w14:textId="77777777" w:rsidR="00F03153" w:rsidRPr="0034779F" w:rsidRDefault="00F03153" w:rsidP="00A14622">
            <w:pPr>
              <w:keepNext/>
              <w:keepLines/>
              <w:spacing w:before="0" w:after="0" w:line="240" w:lineRule="auto"/>
            </w:pPr>
            <w:r w:rsidRPr="0034779F">
              <w:t>Summer Off-Peak</w:t>
            </w:r>
          </w:p>
        </w:tc>
        <w:tc>
          <w:tcPr>
            <w:cnfStyle w:val="000010000000" w:firstRow="0" w:lastRow="0" w:firstColumn="0" w:lastColumn="0" w:oddVBand="1" w:evenVBand="0" w:oddHBand="0" w:evenHBand="0" w:firstRowFirstColumn="0" w:firstRowLastColumn="0" w:lastRowFirstColumn="0" w:lastRowLastColumn="0"/>
            <w:tcW w:w="1013" w:type="pct"/>
          </w:tcPr>
          <w:p w14:paraId="3D2E83B6" w14:textId="77777777" w:rsidR="00F03153" w:rsidRPr="00D05611" w:rsidRDefault="00F03153" w:rsidP="008A6BDD">
            <w:pPr>
              <w:keepNext/>
              <w:keepLines/>
              <w:spacing w:before="0" w:after="0" w:line="240" w:lineRule="auto"/>
              <w:jc w:val="center"/>
            </w:pPr>
            <w:r w:rsidRPr="00D05611">
              <w:t>1.057</w:t>
            </w:r>
          </w:p>
        </w:tc>
        <w:tc>
          <w:tcPr>
            <w:tcW w:w="1014" w:type="pct"/>
          </w:tcPr>
          <w:p w14:paraId="3C7FBE13"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1.073</w:t>
            </w:r>
          </w:p>
        </w:tc>
        <w:tc>
          <w:tcPr>
            <w:cnfStyle w:val="000010000000" w:firstRow="0" w:lastRow="0" w:firstColumn="0" w:lastColumn="0" w:oddVBand="1" w:evenVBand="0" w:oddHBand="0" w:evenHBand="0" w:firstRowFirstColumn="0" w:firstRowLastColumn="0" w:lastRowFirstColumn="0" w:lastRowLastColumn="0"/>
            <w:tcW w:w="1131" w:type="pct"/>
          </w:tcPr>
          <w:p w14:paraId="0BABBA65" w14:textId="77777777" w:rsidR="00F03153" w:rsidRPr="0034779F" w:rsidRDefault="00F03153" w:rsidP="008A6BDD">
            <w:pPr>
              <w:keepNext/>
              <w:keepLines/>
              <w:spacing w:before="0" w:after="0" w:line="240" w:lineRule="auto"/>
              <w:jc w:val="center"/>
            </w:pPr>
            <w:r w:rsidRPr="0034779F">
              <w:t>1.068</w:t>
            </w:r>
          </w:p>
        </w:tc>
      </w:tr>
      <w:tr w:rsidR="00156051" w:rsidRPr="00D05611" w14:paraId="4C30F633"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4CDBF9A6" w14:textId="77777777" w:rsidR="00F03153" w:rsidRPr="0034779F" w:rsidRDefault="00F03153" w:rsidP="00A14622">
            <w:pPr>
              <w:keepNext/>
              <w:keepLines/>
              <w:spacing w:before="0" w:after="0" w:line="240" w:lineRule="auto"/>
            </w:pPr>
            <w:r w:rsidRPr="0034779F">
              <w:t>Winter Peak</w:t>
            </w:r>
          </w:p>
        </w:tc>
        <w:tc>
          <w:tcPr>
            <w:cnfStyle w:val="000010000000" w:firstRow="0" w:lastRow="0" w:firstColumn="0" w:lastColumn="0" w:oddVBand="1" w:evenVBand="0" w:oddHBand="0" w:evenHBand="0" w:firstRowFirstColumn="0" w:firstRowLastColumn="0" w:lastRowFirstColumn="0" w:lastRowLastColumn="0"/>
            <w:tcW w:w="1013" w:type="pct"/>
          </w:tcPr>
          <w:p w14:paraId="2E052BC6" w14:textId="77777777" w:rsidR="00F03153" w:rsidRPr="00D05611" w:rsidRDefault="00F03153" w:rsidP="008A6BDD">
            <w:pPr>
              <w:keepNext/>
              <w:keepLines/>
              <w:spacing w:before="0" w:after="0" w:line="240" w:lineRule="auto"/>
              <w:jc w:val="center"/>
            </w:pPr>
            <w:r w:rsidRPr="25ED4B98">
              <w:t>-</w:t>
            </w:r>
          </w:p>
        </w:tc>
        <w:tc>
          <w:tcPr>
            <w:tcW w:w="1014" w:type="pct"/>
          </w:tcPr>
          <w:p w14:paraId="176D15F0"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5ED4B98">
              <w:t>-</w:t>
            </w:r>
          </w:p>
        </w:tc>
        <w:tc>
          <w:tcPr>
            <w:cnfStyle w:val="000010000000" w:firstRow="0" w:lastRow="0" w:firstColumn="0" w:lastColumn="0" w:oddVBand="1" w:evenVBand="0" w:oddHBand="0" w:evenHBand="0" w:firstRowFirstColumn="0" w:firstRowLastColumn="0" w:lastRowFirstColumn="0" w:lastRowLastColumn="0"/>
            <w:tcW w:w="1131" w:type="pct"/>
          </w:tcPr>
          <w:p w14:paraId="4EEF44D8" w14:textId="77777777" w:rsidR="00F03153" w:rsidRPr="0034779F" w:rsidRDefault="00F03153" w:rsidP="008A6BDD">
            <w:pPr>
              <w:keepNext/>
              <w:keepLines/>
              <w:spacing w:before="0" w:after="0" w:line="240" w:lineRule="auto"/>
              <w:jc w:val="center"/>
            </w:pPr>
            <w:r w:rsidRPr="0034779F">
              <w:t>1.083</w:t>
            </w:r>
          </w:p>
        </w:tc>
      </w:tr>
      <w:tr w:rsidR="00156051" w:rsidRPr="00D05611" w14:paraId="559D3DCA" w14:textId="77777777" w:rsidTr="00156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pct"/>
          </w:tcPr>
          <w:p w14:paraId="0D61D34E" w14:textId="77777777" w:rsidR="00F03153" w:rsidRPr="0034779F" w:rsidRDefault="00F03153" w:rsidP="00A14622">
            <w:pPr>
              <w:keepNext/>
              <w:keepLines/>
              <w:spacing w:before="0" w:after="0" w:line="240" w:lineRule="auto"/>
            </w:pPr>
            <w:r w:rsidRPr="0034779F">
              <w:t>Winter Shoulder</w:t>
            </w:r>
          </w:p>
        </w:tc>
        <w:tc>
          <w:tcPr>
            <w:cnfStyle w:val="000010000000" w:firstRow="0" w:lastRow="0" w:firstColumn="0" w:lastColumn="0" w:oddVBand="1" w:evenVBand="0" w:oddHBand="0" w:evenHBand="0" w:firstRowFirstColumn="0" w:firstRowLastColumn="0" w:lastRowFirstColumn="0" w:lastRowLastColumn="0"/>
            <w:tcW w:w="1013" w:type="pct"/>
          </w:tcPr>
          <w:p w14:paraId="7CF40377" w14:textId="77777777" w:rsidR="00F03153" w:rsidRPr="00D05611" w:rsidRDefault="00F03153" w:rsidP="008A6BDD">
            <w:pPr>
              <w:keepNext/>
              <w:keepLines/>
              <w:spacing w:before="0" w:after="0" w:line="240" w:lineRule="auto"/>
              <w:jc w:val="center"/>
            </w:pPr>
            <w:r w:rsidRPr="00D05611">
              <w:t>1.090</w:t>
            </w:r>
          </w:p>
        </w:tc>
        <w:tc>
          <w:tcPr>
            <w:tcW w:w="1014" w:type="pct"/>
          </w:tcPr>
          <w:p w14:paraId="3835EBE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1.077</w:t>
            </w:r>
          </w:p>
        </w:tc>
        <w:tc>
          <w:tcPr>
            <w:cnfStyle w:val="000010000000" w:firstRow="0" w:lastRow="0" w:firstColumn="0" w:lastColumn="0" w:oddVBand="1" w:evenVBand="0" w:oddHBand="0" w:evenHBand="0" w:firstRowFirstColumn="0" w:firstRowLastColumn="0" w:lastRowFirstColumn="0" w:lastRowLastColumn="0"/>
            <w:tcW w:w="1131" w:type="pct"/>
          </w:tcPr>
          <w:p w14:paraId="07A810E8" w14:textId="77777777" w:rsidR="00F03153" w:rsidRPr="0034779F" w:rsidRDefault="00F03153" w:rsidP="008A6BDD">
            <w:pPr>
              <w:keepNext/>
              <w:keepLines/>
              <w:spacing w:before="0" w:after="0" w:line="240" w:lineRule="auto"/>
              <w:jc w:val="center"/>
            </w:pPr>
            <w:r w:rsidRPr="0034779F">
              <w:t>1.076</w:t>
            </w:r>
          </w:p>
        </w:tc>
      </w:tr>
      <w:tr w:rsidR="00156051" w:rsidRPr="00D05611" w14:paraId="0B65190E" w14:textId="77777777" w:rsidTr="00156051">
        <w:tc>
          <w:tcPr>
            <w:cnfStyle w:val="001000000000" w:firstRow="0" w:lastRow="0" w:firstColumn="1" w:lastColumn="0" w:oddVBand="0" w:evenVBand="0" w:oddHBand="0" w:evenHBand="0" w:firstRowFirstColumn="0" w:firstRowLastColumn="0" w:lastRowFirstColumn="0" w:lastRowLastColumn="0"/>
            <w:tcW w:w="1842" w:type="pct"/>
          </w:tcPr>
          <w:p w14:paraId="0C58605A" w14:textId="77777777" w:rsidR="00F03153" w:rsidRPr="0034779F" w:rsidRDefault="00F03153" w:rsidP="00A14622">
            <w:pPr>
              <w:keepNext/>
              <w:keepLines/>
              <w:spacing w:before="0" w:after="0" w:line="240" w:lineRule="auto"/>
            </w:pPr>
            <w:r w:rsidRPr="0034779F">
              <w:t>Winter Off-Peak</w:t>
            </w:r>
          </w:p>
        </w:tc>
        <w:tc>
          <w:tcPr>
            <w:cnfStyle w:val="000010000000" w:firstRow="0" w:lastRow="0" w:firstColumn="0" w:lastColumn="0" w:oddVBand="1" w:evenVBand="0" w:oddHBand="0" w:evenHBand="0" w:firstRowFirstColumn="0" w:firstRowLastColumn="0" w:lastRowFirstColumn="0" w:lastRowLastColumn="0"/>
            <w:tcW w:w="1013" w:type="pct"/>
          </w:tcPr>
          <w:p w14:paraId="35751ABD" w14:textId="77777777" w:rsidR="00F03153" w:rsidRPr="0034779F" w:rsidRDefault="00F03153" w:rsidP="008A6BDD">
            <w:pPr>
              <w:keepNext/>
              <w:keepLines/>
              <w:spacing w:before="0" w:after="0" w:line="240" w:lineRule="auto"/>
              <w:jc w:val="center"/>
            </w:pPr>
            <w:r w:rsidRPr="0034779F">
              <w:t>1.061</w:t>
            </w:r>
          </w:p>
        </w:tc>
        <w:tc>
          <w:tcPr>
            <w:tcW w:w="1014" w:type="pct"/>
          </w:tcPr>
          <w:p w14:paraId="688F876B" w14:textId="77777777" w:rsidR="00F03153" w:rsidRPr="0034779F"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34779F">
              <w:t>1.070</w:t>
            </w:r>
          </w:p>
        </w:tc>
        <w:tc>
          <w:tcPr>
            <w:cnfStyle w:val="000010000000" w:firstRow="0" w:lastRow="0" w:firstColumn="0" w:lastColumn="0" w:oddVBand="1" w:evenVBand="0" w:oddHBand="0" w:evenHBand="0" w:firstRowFirstColumn="0" w:firstRowLastColumn="0" w:lastRowFirstColumn="0" w:lastRowLastColumn="0"/>
            <w:tcW w:w="1131" w:type="pct"/>
          </w:tcPr>
          <w:p w14:paraId="654B0E01" w14:textId="77777777" w:rsidR="00F03153" w:rsidRPr="0034779F" w:rsidRDefault="00F03153" w:rsidP="008A6BDD">
            <w:pPr>
              <w:keepNext/>
              <w:keepLines/>
              <w:spacing w:before="0" w:after="0" w:line="240" w:lineRule="auto"/>
              <w:jc w:val="center"/>
            </w:pPr>
            <w:r w:rsidRPr="0034779F">
              <w:t>1.068</w:t>
            </w:r>
          </w:p>
        </w:tc>
      </w:tr>
      <w:bookmarkEnd w:id="62"/>
      <w:bookmarkEnd w:id="63"/>
    </w:tbl>
    <w:p w14:paraId="407ED5A6" w14:textId="77777777" w:rsidR="00F03153" w:rsidRDefault="00F03153" w:rsidP="00F03153">
      <w:r>
        <w:br w:type="page"/>
      </w:r>
    </w:p>
    <w:p w14:paraId="5CD7178C" w14:textId="77777777" w:rsidR="00B82BCB" w:rsidRDefault="00B82BCB" w:rsidP="008A6BDD">
      <w:pPr>
        <w:pStyle w:val="Heading2"/>
      </w:pPr>
      <w:bookmarkStart w:id="66" w:name="_Toc271574652"/>
      <w:bookmarkStart w:id="67" w:name="_Toc271575301"/>
      <w:bookmarkStart w:id="68" w:name="_Toc493516881"/>
      <w:r>
        <w:lastRenderedPageBreak/>
        <w:t>Climate Zones</w:t>
      </w:r>
      <w:bookmarkEnd w:id="66"/>
      <w:bookmarkEnd w:id="67"/>
      <w:bookmarkEnd w:id="68"/>
      <w:r>
        <w:t xml:space="preserve"> </w:t>
      </w:r>
    </w:p>
    <w:p w14:paraId="42AF3252" w14:textId="3F3707E4" w:rsidR="00B82BCB" w:rsidRDefault="00B82BCB" w:rsidP="00FC5D62">
      <w:r>
        <w:t xml:space="preserve">In each hour, the value of electricity delivered to the grid depends on the point of delivery. The DG Cost-effectiveness Framework adopts the sixteen California climate zones defined by the Title 24 building standards </w:t>
      </w:r>
      <w:proofErr w:type="gramStart"/>
      <w:r>
        <w:t>in order to</w:t>
      </w:r>
      <w:proofErr w:type="gramEnd"/>
      <w:r>
        <w:t xml:space="preserve"> differentiate between the value of electricity in different regions in the California.  These climate zones group together areas with similar climates, temperature profiles, and energy use patterns </w:t>
      </w:r>
      <w:proofErr w:type="gramStart"/>
      <w:r>
        <w:t>in order to</w:t>
      </w:r>
      <w:proofErr w:type="gramEnd"/>
      <w:r>
        <w:t xml:space="preserve"> differentiate regions in a manner that captures the effects of weather on energy use. </w:t>
      </w:r>
      <w:r>
        <w:fldChar w:fldCharType="begin"/>
      </w:r>
      <w:r>
        <w:instrText xml:space="preserve"> REF _Ref248224774 \h </w:instrText>
      </w:r>
      <w:r w:rsidR="00FC5D62">
        <w:instrText xml:space="preserve"> \* MERGEFORMAT </w:instrText>
      </w:r>
      <w:r>
        <w:fldChar w:fldCharType="separate"/>
      </w:r>
      <w:r w:rsidR="00602B3F">
        <w:t xml:space="preserve">Figure </w:t>
      </w:r>
      <w:r w:rsidR="00602B3F">
        <w:rPr>
          <w:noProof/>
        </w:rPr>
        <w:t>18</w:t>
      </w:r>
      <w:r>
        <w:fldChar w:fldCharType="end"/>
      </w:r>
      <w:r>
        <w:t xml:space="preserve"> is a map of the climate zones in California.</w:t>
      </w:r>
    </w:p>
    <w:p w14:paraId="562A532C" w14:textId="79BCAA2C" w:rsidR="00B82BCB" w:rsidRPr="00B25020" w:rsidRDefault="00B82BCB" w:rsidP="00087461">
      <w:pPr>
        <w:pStyle w:val="Caption"/>
      </w:pPr>
      <w:bookmarkStart w:id="69" w:name="_Ref248224774"/>
      <w:r>
        <w:t xml:space="preserve">Figure </w:t>
      </w:r>
      <w:r w:rsidR="00813981" w:rsidRPr="008A6BDD">
        <w:fldChar w:fldCharType="begin"/>
      </w:r>
      <w:r w:rsidR="00813981">
        <w:instrText xml:space="preserve"> SEQ Figure \* ARABIC </w:instrText>
      </w:r>
      <w:r w:rsidR="00813981" w:rsidRPr="008A6BDD">
        <w:fldChar w:fldCharType="separate"/>
      </w:r>
      <w:r w:rsidR="001068CE">
        <w:rPr>
          <w:noProof/>
        </w:rPr>
        <w:t>19</w:t>
      </w:r>
      <w:r w:rsidR="00813981" w:rsidRPr="008A6BDD">
        <w:fldChar w:fldCharType="end"/>
      </w:r>
      <w:bookmarkEnd w:id="69"/>
      <w:r>
        <w:t>. California Climate Zones</w:t>
      </w:r>
    </w:p>
    <w:p w14:paraId="30C5A197" w14:textId="4C879CBC" w:rsidR="00B82BCB" w:rsidRDefault="007A19C3" w:rsidP="000145D0">
      <w:pPr>
        <w:pStyle w:val="SeattleBody"/>
      </w:pPr>
      <w:r>
        <w:rPr>
          <w:noProof/>
        </w:rPr>
        <w:drawing>
          <wp:inline distT="0" distB="0" distL="0" distR="0" wp14:anchorId="096CBC94" wp14:editId="602D7FAB">
            <wp:extent cx="3409950" cy="4476750"/>
            <wp:effectExtent l="0" t="0" r="0" b="0"/>
            <wp:docPr id="30" name="Picture 30" descr="map showing climate zones in Ca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 showing climate zones in Cal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4476750"/>
                    </a:xfrm>
                    <a:prstGeom prst="rect">
                      <a:avLst/>
                    </a:prstGeom>
                    <a:noFill/>
                    <a:ln>
                      <a:noFill/>
                    </a:ln>
                  </pic:spPr>
                </pic:pic>
              </a:graphicData>
            </a:graphic>
          </wp:inline>
        </w:drawing>
      </w:r>
    </w:p>
    <w:p w14:paraId="28D4F932" w14:textId="4626CA73" w:rsidR="00B82BCB" w:rsidRDefault="00B82BCB" w:rsidP="000145D0">
      <w:r>
        <w:lastRenderedPageBreak/>
        <w:t xml:space="preserve">Each climate zone has a single representative city, which is specified by the California Energy Commission. These cities are listed in </w:t>
      </w:r>
      <w:r>
        <w:fldChar w:fldCharType="begin"/>
      </w:r>
      <w:r>
        <w:instrText xml:space="preserve"> REF _Ref278711631 \h </w:instrText>
      </w:r>
      <w:r>
        <w:fldChar w:fldCharType="separate"/>
      </w:r>
      <w:r w:rsidR="00A05C18">
        <w:t xml:space="preserve">Table </w:t>
      </w:r>
      <w:r w:rsidR="00A05C18">
        <w:rPr>
          <w:noProof/>
        </w:rPr>
        <w:t>12</w:t>
      </w:r>
      <w:r w:rsidR="00A05C18" w:rsidDel="00DC492E">
        <w:rPr>
          <w:noProof/>
        </w:rPr>
        <w:t>11</w:t>
      </w:r>
      <w:r>
        <w:fldChar w:fldCharType="end"/>
      </w:r>
      <w:r>
        <w:t xml:space="preserve">. Hourly avoided costs are calculated for each climate zone.  </w:t>
      </w:r>
    </w:p>
    <w:p w14:paraId="0D68B6C1" w14:textId="77777777" w:rsidR="00B82BCB" w:rsidRDefault="00B82BCB" w:rsidP="000145D0">
      <w:pPr>
        <w:pStyle w:val="SeattleBody"/>
      </w:pPr>
    </w:p>
    <w:p w14:paraId="0537B773" w14:textId="6BE0AECD" w:rsidR="00B82BCB" w:rsidRDefault="00B82BCB" w:rsidP="00087461">
      <w:pPr>
        <w:pStyle w:val="Caption"/>
      </w:pPr>
      <w:bookmarkStart w:id="70" w:name="_Ref278711631"/>
      <w:r>
        <w:t xml:space="preserve">Table </w:t>
      </w:r>
      <w:r w:rsidR="00813981" w:rsidRPr="008A6BDD">
        <w:fldChar w:fldCharType="begin"/>
      </w:r>
      <w:r w:rsidR="00813981">
        <w:instrText xml:space="preserve"> SEQ Table \* ARABIC </w:instrText>
      </w:r>
      <w:r w:rsidR="00813981" w:rsidRPr="008A6BDD">
        <w:fldChar w:fldCharType="separate"/>
      </w:r>
      <w:r w:rsidR="006B2392">
        <w:rPr>
          <w:noProof/>
        </w:rPr>
        <w:t>14</w:t>
      </w:r>
      <w:r w:rsidR="00813981" w:rsidRPr="008A6BDD">
        <w:fldChar w:fldCharType="end"/>
      </w:r>
      <w:bookmarkEnd w:id="70"/>
      <w:r>
        <w:t>. Representative cities and utilities for the California climate zones.</w:t>
      </w:r>
    </w:p>
    <w:tbl>
      <w:tblPr>
        <w:tblStyle w:val="ListTable3-Accent1"/>
        <w:tblW w:w="7710" w:type="dxa"/>
        <w:tblLayout w:type="fixed"/>
        <w:tblLook w:val="00A0" w:firstRow="1" w:lastRow="0" w:firstColumn="1" w:lastColumn="0" w:noHBand="0" w:noVBand="0"/>
        <w:tblCaption w:val=""/>
        <w:tblDescription w:val=""/>
      </w:tblPr>
      <w:tblGrid>
        <w:gridCol w:w="2055"/>
        <w:gridCol w:w="3300"/>
        <w:gridCol w:w="2355"/>
      </w:tblGrid>
      <w:tr w:rsidR="00B82BCB" w:rsidRPr="00D05611" w14:paraId="56F8DBB7"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5" w:type="dxa"/>
          </w:tcPr>
          <w:p w14:paraId="45856622" w14:textId="77777777" w:rsidR="00B82BCB" w:rsidRPr="00D05611" w:rsidRDefault="00B82BCB" w:rsidP="008A6BDD">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3300" w:type="dxa"/>
          </w:tcPr>
          <w:p w14:paraId="29ABF866" w14:textId="77777777" w:rsidR="00B82BCB" w:rsidRPr="00D05611" w:rsidRDefault="00B82BCB" w:rsidP="008A6BDD">
            <w:pPr>
              <w:keepNext/>
              <w:keepLines/>
              <w:spacing w:before="0" w:after="0" w:line="240" w:lineRule="auto"/>
              <w:jc w:val="center"/>
            </w:pPr>
            <w:r w:rsidRPr="00D05611">
              <w:t>Utility Territory</w:t>
            </w:r>
          </w:p>
        </w:tc>
        <w:tc>
          <w:tcPr>
            <w:tcW w:w="2355" w:type="dxa"/>
          </w:tcPr>
          <w:p w14:paraId="456536EC" w14:textId="77777777" w:rsidR="00B82BCB" w:rsidRPr="00D05611" w:rsidRDefault="00B82BCB"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D05611">
              <w:t>Representative City</w:t>
            </w:r>
          </w:p>
        </w:tc>
      </w:tr>
      <w:tr w:rsidR="00B82BCB" w:rsidRPr="00D05611" w14:paraId="22CDCCF8"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2411EF79" w14:textId="77777777" w:rsidR="00B82BCB" w:rsidRPr="00D05611" w:rsidRDefault="00B82BCB" w:rsidP="008A6BDD">
            <w:pPr>
              <w:keepNext/>
              <w:keepLines/>
              <w:spacing w:before="0" w:after="0" w:line="240" w:lineRule="auto"/>
              <w:jc w:val="center"/>
            </w:pPr>
            <w:r w:rsidRPr="00D05611">
              <w:t>CEC Zone 1</w:t>
            </w:r>
          </w:p>
        </w:tc>
        <w:tc>
          <w:tcPr>
            <w:cnfStyle w:val="000010000000" w:firstRow="0" w:lastRow="0" w:firstColumn="0" w:lastColumn="0" w:oddVBand="1" w:evenVBand="0" w:oddHBand="0" w:evenHBand="0" w:firstRowFirstColumn="0" w:firstRowLastColumn="0" w:lastRowFirstColumn="0" w:lastRowLastColumn="0"/>
            <w:tcW w:w="3300" w:type="dxa"/>
          </w:tcPr>
          <w:p w14:paraId="5F1CAF53" w14:textId="77777777" w:rsidR="00B82BCB" w:rsidRPr="00D05611" w:rsidRDefault="00B82BCB" w:rsidP="008A6BDD">
            <w:pPr>
              <w:keepNext/>
              <w:keepLines/>
              <w:spacing w:before="0" w:after="0" w:line="240" w:lineRule="auto"/>
              <w:jc w:val="center"/>
            </w:pPr>
            <w:r w:rsidRPr="00D05611">
              <w:t>PG&amp;E</w:t>
            </w:r>
          </w:p>
        </w:tc>
        <w:tc>
          <w:tcPr>
            <w:tcW w:w="2355" w:type="dxa"/>
          </w:tcPr>
          <w:p w14:paraId="6A7EF019"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Arcata</w:t>
            </w:r>
          </w:p>
        </w:tc>
      </w:tr>
      <w:tr w:rsidR="00B82BCB" w:rsidRPr="00D05611" w14:paraId="6F99B94B"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4C3D106C" w14:textId="77777777" w:rsidR="00B82BCB" w:rsidRPr="00D05611" w:rsidRDefault="00B82BCB" w:rsidP="008A6BDD">
            <w:pPr>
              <w:keepNext/>
              <w:keepLines/>
              <w:spacing w:before="0" w:after="0" w:line="240" w:lineRule="auto"/>
              <w:jc w:val="center"/>
            </w:pPr>
            <w:r w:rsidRPr="00D05611">
              <w:t>CEC Zone 2</w:t>
            </w:r>
          </w:p>
        </w:tc>
        <w:tc>
          <w:tcPr>
            <w:cnfStyle w:val="000010000000" w:firstRow="0" w:lastRow="0" w:firstColumn="0" w:lastColumn="0" w:oddVBand="1" w:evenVBand="0" w:oddHBand="0" w:evenHBand="0" w:firstRowFirstColumn="0" w:firstRowLastColumn="0" w:lastRowFirstColumn="0" w:lastRowLastColumn="0"/>
            <w:tcW w:w="3300" w:type="dxa"/>
          </w:tcPr>
          <w:p w14:paraId="5DABE044" w14:textId="77777777" w:rsidR="00B82BCB" w:rsidRPr="00D05611" w:rsidRDefault="00B82BCB" w:rsidP="008A6BDD">
            <w:pPr>
              <w:keepNext/>
              <w:keepLines/>
              <w:spacing w:before="0" w:after="0" w:line="240" w:lineRule="auto"/>
              <w:jc w:val="center"/>
            </w:pPr>
            <w:r w:rsidRPr="00D05611">
              <w:t>PG&amp;E</w:t>
            </w:r>
          </w:p>
        </w:tc>
        <w:tc>
          <w:tcPr>
            <w:tcW w:w="2355" w:type="dxa"/>
          </w:tcPr>
          <w:p w14:paraId="25C7732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Santa Rosa</w:t>
            </w:r>
          </w:p>
        </w:tc>
      </w:tr>
      <w:tr w:rsidR="00B82BCB" w:rsidRPr="00D05611" w14:paraId="04A499CE"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7766646F" w14:textId="77777777" w:rsidR="00B82BCB" w:rsidRPr="00D05611" w:rsidRDefault="00B82BCB" w:rsidP="008A6BDD">
            <w:pPr>
              <w:keepNext/>
              <w:keepLines/>
              <w:spacing w:before="0" w:after="0" w:line="240" w:lineRule="auto"/>
              <w:jc w:val="center"/>
            </w:pPr>
            <w:r w:rsidRPr="00D05611">
              <w:t>CEC Zone 3</w:t>
            </w:r>
          </w:p>
        </w:tc>
        <w:tc>
          <w:tcPr>
            <w:cnfStyle w:val="000010000000" w:firstRow="0" w:lastRow="0" w:firstColumn="0" w:lastColumn="0" w:oddVBand="1" w:evenVBand="0" w:oddHBand="0" w:evenHBand="0" w:firstRowFirstColumn="0" w:firstRowLastColumn="0" w:lastRowFirstColumn="0" w:lastRowLastColumn="0"/>
            <w:tcW w:w="3300" w:type="dxa"/>
          </w:tcPr>
          <w:p w14:paraId="2E27EFA2" w14:textId="77777777" w:rsidR="00B82BCB" w:rsidRPr="00D05611" w:rsidRDefault="00B82BCB" w:rsidP="008A6BDD">
            <w:pPr>
              <w:keepNext/>
              <w:keepLines/>
              <w:spacing w:before="0" w:after="0" w:line="240" w:lineRule="auto"/>
              <w:jc w:val="center"/>
            </w:pPr>
            <w:r w:rsidRPr="00D05611">
              <w:t>PG&amp;E</w:t>
            </w:r>
          </w:p>
        </w:tc>
        <w:tc>
          <w:tcPr>
            <w:tcW w:w="2355" w:type="dxa"/>
          </w:tcPr>
          <w:p w14:paraId="4D20F6B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Oakland</w:t>
            </w:r>
          </w:p>
        </w:tc>
      </w:tr>
      <w:tr w:rsidR="00B82BCB" w:rsidRPr="00D05611" w14:paraId="5B1C0020"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39AD1B79" w14:textId="77777777" w:rsidR="00B82BCB" w:rsidRPr="00D05611" w:rsidRDefault="00B82BCB" w:rsidP="008A6BDD">
            <w:pPr>
              <w:keepNext/>
              <w:keepLines/>
              <w:spacing w:before="0" w:after="0" w:line="240" w:lineRule="auto"/>
              <w:jc w:val="center"/>
            </w:pPr>
            <w:r w:rsidRPr="00D05611">
              <w:t>CEC Zone 4</w:t>
            </w:r>
          </w:p>
        </w:tc>
        <w:tc>
          <w:tcPr>
            <w:cnfStyle w:val="000010000000" w:firstRow="0" w:lastRow="0" w:firstColumn="0" w:lastColumn="0" w:oddVBand="1" w:evenVBand="0" w:oddHBand="0" w:evenHBand="0" w:firstRowFirstColumn="0" w:firstRowLastColumn="0" w:lastRowFirstColumn="0" w:lastRowLastColumn="0"/>
            <w:tcW w:w="3300" w:type="dxa"/>
          </w:tcPr>
          <w:p w14:paraId="4103CE2B" w14:textId="77777777" w:rsidR="00B82BCB" w:rsidRPr="00D05611" w:rsidRDefault="00B82BCB" w:rsidP="008A6BDD">
            <w:pPr>
              <w:keepNext/>
              <w:keepLines/>
              <w:spacing w:before="0" w:after="0" w:line="240" w:lineRule="auto"/>
              <w:jc w:val="center"/>
            </w:pPr>
            <w:r w:rsidRPr="00D05611">
              <w:t>PG&amp;E</w:t>
            </w:r>
          </w:p>
        </w:tc>
        <w:tc>
          <w:tcPr>
            <w:tcW w:w="2355" w:type="dxa"/>
          </w:tcPr>
          <w:p w14:paraId="4A091FF6"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Sunnyvale</w:t>
            </w:r>
          </w:p>
        </w:tc>
      </w:tr>
      <w:tr w:rsidR="00B82BCB" w:rsidRPr="00D05611" w14:paraId="28995D1F"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C3DAAB5" w14:textId="77777777" w:rsidR="00B82BCB" w:rsidRPr="00D05611" w:rsidRDefault="00B82BCB" w:rsidP="008A6BDD">
            <w:pPr>
              <w:keepNext/>
              <w:keepLines/>
              <w:spacing w:before="0" w:after="0" w:line="240" w:lineRule="auto"/>
              <w:jc w:val="center"/>
            </w:pPr>
            <w:r w:rsidRPr="00D05611">
              <w:t>CEC Zone 5</w:t>
            </w:r>
          </w:p>
        </w:tc>
        <w:tc>
          <w:tcPr>
            <w:cnfStyle w:val="000010000000" w:firstRow="0" w:lastRow="0" w:firstColumn="0" w:lastColumn="0" w:oddVBand="1" w:evenVBand="0" w:oddHBand="0" w:evenHBand="0" w:firstRowFirstColumn="0" w:firstRowLastColumn="0" w:lastRowFirstColumn="0" w:lastRowLastColumn="0"/>
            <w:tcW w:w="3300" w:type="dxa"/>
          </w:tcPr>
          <w:p w14:paraId="44CACED9" w14:textId="77777777" w:rsidR="00B82BCB" w:rsidRPr="00D05611" w:rsidRDefault="00B82BCB" w:rsidP="008A6BDD">
            <w:pPr>
              <w:keepNext/>
              <w:keepLines/>
              <w:spacing w:before="0" w:after="0" w:line="240" w:lineRule="auto"/>
              <w:jc w:val="center"/>
            </w:pPr>
            <w:r w:rsidRPr="00D05611">
              <w:t>PG&amp;E/SCE</w:t>
            </w:r>
          </w:p>
        </w:tc>
        <w:tc>
          <w:tcPr>
            <w:tcW w:w="2355" w:type="dxa"/>
          </w:tcPr>
          <w:p w14:paraId="336E46A8"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Santa Maria</w:t>
            </w:r>
          </w:p>
        </w:tc>
      </w:tr>
      <w:tr w:rsidR="00B82BCB" w:rsidRPr="00D05611" w14:paraId="41D7C1CA"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E9629AF" w14:textId="77777777" w:rsidR="00B82BCB" w:rsidRPr="00D05611" w:rsidRDefault="00B82BCB" w:rsidP="008A6BDD">
            <w:pPr>
              <w:keepNext/>
              <w:keepLines/>
              <w:spacing w:before="0" w:after="0" w:line="240" w:lineRule="auto"/>
              <w:jc w:val="center"/>
            </w:pPr>
            <w:r w:rsidRPr="00D05611">
              <w:t>CEC Zone 6</w:t>
            </w:r>
          </w:p>
        </w:tc>
        <w:tc>
          <w:tcPr>
            <w:cnfStyle w:val="000010000000" w:firstRow="0" w:lastRow="0" w:firstColumn="0" w:lastColumn="0" w:oddVBand="1" w:evenVBand="0" w:oddHBand="0" w:evenHBand="0" w:firstRowFirstColumn="0" w:firstRowLastColumn="0" w:lastRowFirstColumn="0" w:lastRowLastColumn="0"/>
            <w:tcW w:w="3300" w:type="dxa"/>
          </w:tcPr>
          <w:p w14:paraId="01C9D3A1" w14:textId="77777777" w:rsidR="00B82BCB" w:rsidRPr="00D05611" w:rsidRDefault="00B82BCB" w:rsidP="008A6BDD">
            <w:pPr>
              <w:keepNext/>
              <w:keepLines/>
              <w:spacing w:before="0" w:after="0" w:line="240" w:lineRule="auto"/>
              <w:jc w:val="center"/>
            </w:pPr>
            <w:r w:rsidRPr="00D05611">
              <w:t>SCE</w:t>
            </w:r>
          </w:p>
        </w:tc>
        <w:tc>
          <w:tcPr>
            <w:tcW w:w="2355" w:type="dxa"/>
          </w:tcPr>
          <w:p w14:paraId="36C86BAE"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Los Angeles</w:t>
            </w:r>
          </w:p>
        </w:tc>
      </w:tr>
      <w:tr w:rsidR="00B82BCB" w:rsidRPr="00D05611" w14:paraId="5D2C0D02"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0D32291E" w14:textId="77777777" w:rsidR="00B82BCB" w:rsidRPr="00D05611" w:rsidRDefault="00B82BCB" w:rsidP="008A6BDD">
            <w:pPr>
              <w:keepNext/>
              <w:keepLines/>
              <w:spacing w:before="0" w:after="0" w:line="240" w:lineRule="auto"/>
              <w:jc w:val="center"/>
            </w:pPr>
            <w:r w:rsidRPr="00D05611">
              <w:t>CEC Zone 7</w:t>
            </w:r>
          </w:p>
        </w:tc>
        <w:tc>
          <w:tcPr>
            <w:cnfStyle w:val="000010000000" w:firstRow="0" w:lastRow="0" w:firstColumn="0" w:lastColumn="0" w:oddVBand="1" w:evenVBand="0" w:oddHBand="0" w:evenHBand="0" w:firstRowFirstColumn="0" w:firstRowLastColumn="0" w:lastRowFirstColumn="0" w:lastRowLastColumn="0"/>
            <w:tcW w:w="3300" w:type="dxa"/>
          </w:tcPr>
          <w:p w14:paraId="5860295B" w14:textId="77777777" w:rsidR="00B82BCB" w:rsidRPr="00D05611" w:rsidRDefault="00B82BCB" w:rsidP="008A6BDD">
            <w:pPr>
              <w:keepNext/>
              <w:keepLines/>
              <w:spacing w:before="0" w:after="0" w:line="240" w:lineRule="auto"/>
              <w:jc w:val="center"/>
            </w:pPr>
            <w:r w:rsidRPr="00D05611">
              <w:t>SDG&amp;E</w:t>
            </w:r>
          </w:p>
        </w:tc>
        <w:tc>
          <w:tcPr>
            <w:tcW w:w="2355" w:type="dxa"/>
          </w:tcPr>
          <w:p w14:paraId="7C1F7081"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 Diego</w:t>
            </w:r>
          </w:p>
        </w:tc>
      </w:tr>
      <w:tr w:rsidR="00B82BCB" w:rsidRPr="00D05611" w14:paraId="6BD3C5E4"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7DFBE136" w14:textId="77777777" w:rsidR="00B82BCB" w:rsidRPr="00D05611" w:rsidRDefault="00B82BCB" w:rsidP="008A6BDD">
            <w:pPr>
              <w:keepNext/>
              <w:keepLines/>
              <w:spacing w:before="0" w:after="0" w:line="240" w:lineRule="auto"/>
              <w:jc w:val="center"/>
            </w:pPr>
            <w:r w:rsidRPr="00D05611">
              <w:t>CEC Zone 8</w:t>
            </w:r>
          </w:p>
        </w:tc>
        <w:tc>
          <w:tcPr>
            <w:cnfStyle w:val="000010000000" w:firstRow="0" w:lastRow="0" w:firstColumn="0" w:lastColumn="0" w:oddVBand="1" w:evenVBand="0" w:oddHBand="0" w:evenHBand="0" w:firstRowFirstColumn="0" w:firstRowLastColumn="0" w:lastRowFirstColumn="0" w:lastRowLastColumn="0"/>
            <w:tcW w:w="3300" w:type="dxa"/>
          </w:tcPr>
          <w:p w14:paraId="42FBCC81" w14:textId="77777777" w:rsidR="00B82BCB" w:rsidRPr="00D05611" w:rsidRDefault="00B82BCB" w:rsidP="008A6BDD">
            <w:pPr>
              <w:keepNext/>
              <w:keepLines/>
              <w:spacing w:before="0" w:after="0" w:line="240" w:lineRule="auto"/>
              <w:jc w:val="center"/>
            </w:pPr>
            <w:r w:rsidRPr="00D05611">
              <w:t>SCE</w:t>
            </w:r>
          </w:p>
        </w:tc>
        <w:tc>
          <w:tcPr>
            <w:tcW w:w="2355" w:type="dxa"/>
          </w:tcPr>
          <w:p w14:paraId="50E13C51"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El Toro</w:t>
            </w:r>
          </w:p>
        </w:tc>
      </w:tr>
      <w:tr w:rsidR="00B82BCB" w:rsidRPr="00D05611" w14:paraId="4CB68980"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365BAD32" w14:textId="77777777" w:rsidR="00B82BCB" w:rsidRPr="00D05611" w:rsidRDefault="00B82BCB" w:rsidP="008A6BDD">
            <w:pPr>
              <w:keepNext/>
              <w:keepLines/>
              <w:spacing w:before="0" w:after="0" w:line="240" w:lineRule="auto"/>
              <w:jc w:val="center"/>
            </w:pPr>
            <w:r w:rsidRPr="00D05611">
              <w:t>CEC Zone 9</w:t>
            </w:r>
          </w:p>
        </w:tc>
        <w:tc>
          <w:tcPr>
            <w:cnfStyle w:val="000010000000" w:firstRow="0" w:lastRow="0" w:firstColumn="0" w:lastColumn="0" w:oddVBand="1" w:evenVBand="0" w:oddHBand="0" w:evenHBand="0" w:firstRowFirstColumn="0" w:firstRowLastColumn="0" w:lastRowFirstColumn="0" w:lastRowLastColumn="0"/>
            <w:tcW w:w="3300" w:type="dxa"/>
          </w:tcPr>
          <w:p w14:paraId="76102A42" w14:textId="77777777" w:rsidR="00B82BCB" w:rsidRPr="00D05611" w:rsidRDefault="00B82BCB" w:rsidP="008A6BDD">
            <w:pPr>
              <w:keepNext/>
              <w:keepLines/>
              <w:spacing w:before="0" w:after="0" w:line="240" w:lineRule="auto"/>
              <w:jc w:val="center"/>
            </w:pPr>
            <w:r w:rsidRPr="00D05611">
              <w:t>SCE</w:t>
            </w:r>
          </w:p>
        </w:tc>
        <w:tc>
          <w:tcPr>
            <w:tcW w:w="2355" w:type="dxa"/>
          </w:tcPr>
          <w:p w14:paraId="653210AC"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Pasadena</w:t>
            </w:r>
          </w:p>
        </w:tc>
      </w:tr>
      <w:tr w:rsidR="00B82BCB" w:rsidRPr="00D05611" w14:paraId="57721371"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1C5C660" w14:textId="77777777" w:rsidR="00B82BCB" w:rsidRPr="00D05611" w:rsidRDefault="00B82BCB" w:rsidP="008A6BDD">
            <w:pPr>
              <w:keepNext/>
              <w:keepLines/>
              <w:spacing w:before="0" w:after="0" w:line="240" w:lineRule="auto"/>
              <w:jc w:val="center"/>
            </w:pPr>
            <w:r w:rsidRPr="00D05611">
              <w:t>CEC Zone 10</w:t>
            </w:r>
          </w:p>
        </w:tc>
        <w:tc>
          <w:tcPr>
            <w:cnfStyle w:val="000010000000" w:firstRow="0" w:lastRow="0" w:firstColumn="0" w:lastColumn="0" w:oddVBand="1" w:evenVBand="0" w:oddHBand="0" w:evenHBand="0" w:firstRowFirstColumn="0" w:firstRowLastColumn="0" w:lastRowFirstColumn="0" w:lastRowLastColumn="0"/>
            <w:tcW w:w="3300" w:type="dxa"/>
          </w:tcPr>
          <w:p w14:paraId="6B58004D" w14:textId="77777777" w:rsidR="00B82BCB" w:rsidRPr="00D05611" w:rsidRDefault="00B82BCB" w:rsidP="008A6BDD">
            <w:pPr>
              <w:keepNext/>
              <w:keepLines/>
              <w:spacing w:before="0" w:after="0" w:line="240" w:lineRule="auto"/>
              <w:jc w:val="center"/>
            </w:pPr>
            <w:r w:rsidRPr="00D05611">
              <w:t>SCE/SDG&amp;E</w:t>
            </w:r>
          </w:p>
        </w:tc>
        <w:tc>
          <w:tcPr>
            <w:tcW w:w="2355" w:type="dxa"/>
          </w:tcPr>
          <w:p w14:paraId="2A10895A"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Riverside</w:t>
            </w:r>
          </w:p>
        </w:tc>
      </w:tr>
      <w:tr w:rsidR="00B82BCB" w:rsidRPr="00D05611" w14:paraId="2F560CB2"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4E60B668" w14:textId="77777777" w:rsidR="00B82BCB" w:rsidRPr="00D05611" w:rsidRDefault="00B82BCB" w:rsidP="008A6BDD">
            <w:pPr>
              <w:keepNext/>
              <w:keepLines/>
              <w:spacing w:before="0" w:after="0" w:line="240" w:lineRule="auto"/>
              <w:jc w:val="center"/>
            </w:pPr>
            <w:r w:rsidRPr="00D05611">
              <w:t>CEC Zone 11</w:t>
            </w:r>
          </w:p>
        </w:tc>
        <w:tc>
          <w:tcPr>
            <w:cnfStyle w:val="000010000000" w:firstRow="0" w:lastRow="0" w:firstColumn="0" w:lastColumn="0" w:oddVBand="1" w:evenVBand="0" w:oddHBand="0" w:evenHBand="0" w:firstRowFirstColumn="0" w:firstRowLastColumn="0" w:lastRowFirstColumn="0" w:lastRowLastColumn="0"/>
            <w:tcW w:w="3300" w:type="dxa"/>
          </w:tcPr>
          <w:p w14:paraId="6F42A43F" w14:textId="77777777" w:rsidR="00B82BCB" w:rsidRPr="00D05611" w:rsidRDefault="00B82BCB" w:rsidP="008A6BDD">
            <w:pPr>
              <w:keepNext/>
              <w:keepLines/>
              <w:spacing w:before="0" w:after="0" w:line="240" w:lineRule="auto"/>
              <w:jc w:val="center"/>
            </w:pPr>
            <w:r w:rsidRPr="00D05611">
              <w:t>PG&amp;E</w:t>
            </w:r>
          </w:p>
        </w:tc>
        <w:tc>
          <w:tcPr>
            <w:tcW w:w="2355" w:type="dxa"/>
          </w:tcPr>
          <w:p w14:paraId="6AA3F76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Red Bluff</w:t>
            </w:r>
          </w:p>
        </w:tc>
      </w:tr>
      <w:tr w:rsidR="00B82BCB" w:rsidRPr="00D05611" w14:paraId="1679BB6C"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1331D4F2" w14:textId="77777777" w:rsidR="00B82BCB" w:rsidRPr="00D05611" w:rsidRDefault="00B82BCB" w:rsidP="008A6BDD">
            <w:pPr>
              <w:keepNext/>
              <w:keepLines/>
              <w:spacing w:before="0" w:after="0" w:line="240" w:lineRule="auto"/>
              <w:jc w:val="center"/>
            </w:pPr>
            <w:r w:rsidRPr="00D05611">
              <w:t>CEC Zone 12</w:t>
            </w:r>
          </w:p>
        </w:tc>
        <w:tc>
          <w:tcPr>
            <w:cnfStyle w:val="000010000000" w:firstRow="0" w:lastRow="0" w:firstColumn="0" w:lastColumn="0" w:oddVBand="1" w:evenVBand="0" w:oddHBand="0" w:evenHBand="0" w:firstRowFirstColumn="0" w:firstRowLastColumn="0" w:lastRowFirstColumn="0" w:lastRowLastColumn="0"/>
            <w:tcW w:w="3300" w:type="dxa"/>
          </w:tcPr>
          <w:p w14:paraId="79C2F7F1" w14:textId="77777777" w:rsidR="00B82BCB" w:rsidRPr="00D05611" w:rsidRDefault="00B82BCB" w:rsidP="008A6BDD">
            <w:pPr>
              <w:keepNext/>
              <w:keepLines/>
              <w:spacing w:before="0" w:after="0" w:line="240" w:lineRule="auto"/>
              <w:jc w:val="center"/>
            </w:pPr>
            <w:r w:rsidRPr="00D05611">
              <w:t>PG&amp;E</w:t>
            </w:r>
          </w:p>
        </w:tc>
        <w:tc>
          <w:tcPr>
            <w:tcW w:w="2355" w:type="dxa"/>
          </w:tcPr>
          <w:p w14:paraId="47AEC2F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Sacramento</w:t>
            </w:r>
          </w:p>
        </w:tc>
      </w:tr>
      <w:tr w:rsidR="00B82BCB" w:rsidRPr="00D05611" w14:paraId="29584DE8"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717DB3A" w14:textId="77777777" w:rsidR="00B82BCB" w:rsidRPr="00D05611" w:rsidRDefault="00B82BCB" w:rsidP="008A6BDD">
            <w:pPr>
              <w:keepNext/>
              <w:keepLines/>
              <w:spacing w:before="0" w:after="0" w:line="240" w:lineRule="auto"/>
              <w:jc w:val="center"/>
            </w:pPr>
            <w:r w:rsidRPr="00D05611">
              <w:t>CEC Zone 13</w:t>
            </w:r>
          </w:p>
        </w:tc>
        <w:tc>
          <w:tcPr>
            <w:cnfStyle w:val="000010000000" w:firstRow="0" w:lastRow="0" w:firstColumn="0" w:lastColumn="0" w:oddVBand="1" w:evenVBand="0" w:oddHBand="0" w:evenHBand="0" w:firstRowFirstColumn="0" w:firstRowLastColumn="0" w:lastRowFirstColumn="0" w:lastRowLastColumn="0"/>
            <w:tcW w:w="3300" w:type="dxa"/>
          </w:tcPr>
          <w:p w14:paraId="4942145D" w14:textId="77777777" w:rsidR="00B82BCB" w:rsidRPr="00D05611" w:rsidRDefault="00B82BCB" w:rsidP="008A6BDD">
            <w:pPr>
              <w:keepNext/>
              <w:keepLines/>
              <w:spacing w:before="0" w:after="0" w:line="240" w:lineRule="auto"/>
              <w:jc w:val="center"/>
            </w:pPr>
            <w:r w:rsidRPr="00D05611">
              <w:t>PG&amp;E</w:t>
            </w:r>
          </w:p>
        </w:tc>
        <w:tc>
          <w:tcPr>
            <w:tcW w:w="2355" w:type="dxa"/>
          </w:tcPr>
          <w:p w14:paraId="07141AE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Fresno</w:t>
            </w:r>
          </w:p>
        </w:tc>
      </w:tr>
      <w:tr w:rsidR="00B82BCB" w:rsidRPr="00D05611" w14:paraId="16625493"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3BB19626" w14:textId="77777777" w:rsidR="00B82BCB" w:rsidRPr="00D05611" w:rsidRDefault="00B82BCB" w:rsidP="008A6BDD">
            <w:pPr>
              <w:keepNext/>
              <w:keepLines/>
              <w:spacing w:before="0" w:after="0" w:line="240" w:lineRule="auto"/>
              <w:jc w:val="center"/>
            </w:pPr>
            <w:r w:rsidRPr="00D05611">
              <w:t>CEC Zone 14</w:t>
            </w:r>
          </w:p>
        </w:tc>
        <w:tc>
          <w:tcPr>
            <w:cnfStyle w:val="000010000000" w:firstRow="0" w:lastRow="0" w:firstColumn="0" w:lastColumn="0" w:oddVBand="1" w:evenVBand="0" w:oddHBand="0" w:evenHBand="0" w:firstRowFirstColumn="0" w:firstRowLastColumn="0" w:lastRowFirstColumn="0" w:lastRowLastColumn="0"/>
            <w:tcW w:w="3300" w:type="dxa"/>
          </w:tcPr>
          <w:p w14:paraId="26D9F39E" w14:textId="77777777" w:rsidR="00B82BCB" w:rsidRPr="00D05611" w:rsidRDefault="00B82BCB" w:rsidP="008A6BDD">
            <w:pPr>
              <w:keepNext/>
              <w:keepLines/>
              <w:spacing w:before="0" w:after="0" w:line="240" w:lineRule="auto"/>
              <w:jc w:val="center"/>
            </w:pPr>
            <w:r w:rsidRPr="00D05611">
              <w:t>SCE/SDG&amp;E</w:t>
            </w:r>
          </w:p>
        </w:tc>
        <w:tc>
          <w:tcPr>
            <w:tcW w:w="2355" w:type="dxa"/>
          </w:tcPr>
          <w:p w14:paraId="1263B6A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China Lake</w:t>
            </w:r>
          </w:p>
        </w:tc>
      </w:tr>
      <w:tr w:rsidR="00B82BCB" w:rsidRPr="00D05611" w14:paraId="43D85BF3" w14:textId="77777777" w:rsidTr="008A6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Pr>
          <w:p w14:paraId="55533835" w14:textId="77777777" w:rsidR="00B82BCB" w:rsidRPr="00D05611" w:rsidRDefault="00B82BCB" w:rsidP="008A6BDD">
            <w:pPr>
              <w:keepNext/>
              <w:keepLines/>
              <w:spacing w:before="0" w:after="0" w:line="240" w:lineRule="auto"/>
              <w:jc w:val="center"/>
            </w:pPr>
            <w:r w:rsidRPr="00D05611">
              <w:t>CEC Zone 15</w:t>
            </w:r>
          </w:p>
        </w:tc>
        <w:tc>
          <w:tcPr>
            <w:cnfStyle w:val="000010000000" w:firstRow="0" w:lastRow="0" w:firstColumn="0" w:lastColumn="0" w:oddVBand="1" w:evenVBand="0" w:oddHBand="0" w:evenHBand="0" w:firstRowFirstColumn="0" w:firstRowLastColumn="0" w:lastRowFirstColumn="0" w:lastRowLastColumn="0"/>
            <w:tcW w:w="3300" w:type="dxa"/>
          </w:tcPr>
          <w:p w14:paraId="74A03AEB" w14:textId="77777777" w:rsidR="00B82BCB" w:rsidRPr="00D05611" w:rsidRDefault="00B82BCB" w:rsidP="008A6BDD">
            <w:pPr>
              <w:keepNext/>
              <w:keepLines/>
              <w:spacing w:before="0" w:after="0" w:line="240" w:lineRule="auto"/>
              <w:jc w:val="center"/>
            </w:pPr>
            <w:r w:rsidRPr="00D05611">
              <w:t>SCE/SDG&amp;E</w:t>
            </w:r>
          </w:p>
        </w:tc>
        <w:tc>
          <w:tcPr>
            <w:tcW w:w="2355" w:type="dxa"/>
          </w:tcPr>
          <w:p w14:paraId="4201384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El Centro</w:t>
            </w:r>
          </w:p>
        </w:tc>
      </w:tr>
      <w:tr w:rsidR="00B82BCB" w:rsidRPr="00D05611" w14:paraId="6B38A6B4" w14:textId="77777777" w:rsidTr="008A6BDD">
        <w:tc>
          <w:tcPr>
            <w:cnfStyle w:val="001000000000" w:firstRow="0" w:lastRow="0" w:firstColumn="1" w:lastColumn="0" w:oddVBand="0" w:evenVBand="0" w:oddHBand="0" w:evenHBand="0" w:firstRowFirstColumn="0" w:firstRowLastColumn="0" w:lastRowFirstColumn="0" w:lastRowLastColumn="0"/>
            <w:tcW w:w="2055" w:type="dxa"/>
          </w:tcPr>
          <w:p w14:paraId="5E4C4B8C" w14:textId="77777777" w:rsidR="00B82BCB" w:rsidRPr="00D05611" w:rsidRDefault="00B82BCB" w:rsidP="008A6BDD">
            <w:pPr>
              <w:keepNext/>
              <w:keepLines/>
              <w:spacing w:before="0" w:after="0" w:line="240" w:lineRule="auto"/>
              <w:jc w:val="center"/>
            </w:pPr>
            <w:r w:rsidRPr="00D05611">
              <w:t>CEC Zone 16</w:t>
            </w:r>
          </w:p>
        </w:tc>
        <w:tc>
          <w:tcPr>
            <w:cnfStyle w:val="000010000000" w:firstRow="0" w:lastRow="0" w:firstColumn="0" w:lastColumn="0" w:oddVBand="1" w:evenVBand="0" w:oddHBand="0" w:evenHBand="0" w:firstRowFirstColumn="0" w:firstRowLastColumn="0" w:lastRowFirstColumn="0" w:lastRowLastColumn="0"/>
            <w:tcW w:w="3300" w:type="dxa"/>
          </w:tcPr>
          <w:p w14:paraId="2FFB24A2" w14:textId="77777777" w:rsidR="00B82BCB" w:rsidRPr="00D05611" w:rsidRDefault="00B82BCB" w:rsidP="008A6BDD">
            <w:pPr>
              <w:keepNext/>
              <w:keepLines/>
              <w:spacing w:before="0" w:after="0" w:line="240" w:lineRule="auto"/>
              <w:jc w:val="center"/>
            </w:pPr>
            <w:r w:rsidRPr="00D05611">
              <w:t>PG&amp;E/SCE</w:t>
            </w:r>
          </w:p>
        </w:tc>
        <w:tc>
          <w:tcPr>
            <w:tcW w:w="2355" w:type="dxa"/>
          </w:tcPr>
          <w:p w14:paraId="50B92E7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Mount Shasta</w:t>
            </w:r>
          </w:p>
        </w:tc>
      </w:tr>
    </w:tbl>
    <w:p w14:paraId="776043EB" w14:textId="373CBAB5" w:rsidR="00B82BCB" w:rsidRDefault="00B82BCB" w:rsidP="000145D0">
      <w:pPr>
        <w:pStyle w:val="SeattleBody"/>
      </w:pPr>
    </w:p>
    <w:p w14:paraId="2FD381B4" w14:textId="7D1C113B" w:rsidR="00DC492E" w:rsidRDefault="000C7C10" w:rsidP="008A6BDD">
      <w:pPr>
        <w:pStyle w:val="Heading2"/>
      </w:pPr>
      <w:bookmarkStart w:id="71" w:name="_Toc493516882"/>
      <w:r>
        <w:t>T&amp;D Allocation Factors</w:t>
      </w:r>
      <w:bookmarkEnd w:id="71"/>
    </w:p>
    <w:p w14:paraId="38CE10C6" w14:textId="4E77B4B1" w:rsidR="000C7C10" w:rsidRDefault="000C7C10" w:rsidP="008A6BDD">
      <w:r>
        <w:t xml:space="preserve">For a description of the charts, refer to the discussion of </w:t>
      </w:r>
      <w:r>
        <w:fldChar w:fldCharType="begin"/>
      </w:r>
      <w:r>
        <w:instrText xml:space="preserve"> REF _Ref452192165 \h </w:instrText>
      </w:r>
      <w:r>
        <w:fldChar w:fldCharType="separate"/>
      </w:r>
      <w:r w:rsidRPr="00EC1B91">
        <w:t xml:space="preserve">Figure </w:t>
      </w:r>
      <w:r w:rsidRPr="008A6BDD">
        <w:t>12</w:t>
      </w:r>
      <w:r>
        <w:fldChar w:fldCharType="end"/>
      </w:r>
      <w:r>
        <w:t xml:space="preserve"> and </w:t>
      </w:r>
      <w:r>
        <w:fldChar w:fldCharType="begin"/>
      </w:r>
      <w:r>
        <w:instrText xml:space="preserve"> REF _Ref452192722 \h </w:instrText>
      </w:r>
      <w:r>
        <w:fldChar w:fldCharType="separate"/>
      </w:r>
      <w:r w:rsidRPr="00EB036A">
        <w:t xml:space="preserve">Figure </w:t>
      </w:r>
      <w:r>
        <w:rPr>
          <w:noProof/>
        </w:rPr>
        <w:t>13</w:t>
      </w:r>
      <w:r>
        <w:fldChar w:fldCharType="end"/>
      </w:r>
      <w:r>
        <w:t xml:space="preserve"> on page </w:t>
      </w:r>
      <w:r>
        <w:fldChar w:fldCharType="begin"/>
      </w:r>
      <w:r>
        <w:instrText xml:space="preserve"> PAGEREF _Ref452193067 \h </w:instrText>
      </w:r>
      <w:r>
        <w:fldChar w:fldCharType="separate"/>
      </w:r>
      <w:r>
        <w:rPr>
          <w:noProof/>
        </w:rPr>
        <w:t>30</w:t>
      </w:r>
      <w:r>
        <w:fldChar w:fldCharType="end"/>
      </w:r>
      <w:r>
        <w:t>.</w:t>
      </w:r>
    </w:p>
    <w:p w14:paraId="615BD273" w14:textId="61326EB4" w:rsidR="000C7C10" w:rsidRDefault="000C7C10" w:rsidP="008A6BDD">
      <w:r>
        <w:rPr>
          <w:noProof/>
        </w:rPr>
        <w:lastRenderedPageBreak/>
        <w:drawing>
          <wp:inline distT="0" distB="0" distL="0" distR="0" wp14:anchorId="480FFA78" wp14:editId="6320F015">
            <wp:extent cx="4615966" cy="2755631"/>
            <wp:effectExtent l="0" t="0" r="0" b="6985"/>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1"/>
                    <a:stretch>
                      <a:fillRect/>
                    </a:stretch>
                  </pic:blipFill>
                  <pic:spPr>
                    <a:xfrm>
                      <a:off x="0" y="0"/>
                      <a:ext cx="4615966" cy="2755631"/>
                    </a:xfrm>
                    <a:prstGeom prst="rect">
                      <a:avLst/>
                    </a:prstGeom>
                  </pic:spPr>
                </pic:pic>
              </a:graphicData>
            </a:graphic>
          </wp:inline>
        </w:drawing>
      </w:r>
    </w:p>
    <w:p w14:paraId="66CDE40D" w14:textId="5DCBA5C0" w:rsidR="000C7C10" w:rsidRDefault="000C7C10" w:rsidP="008A6BDD">
      <w:r>
        <w:rPr>
          <w:noProof/>
        </w:rPr>
        <w:drawing>
          <wp:inline distT="0" distB="0" distL="0" distR="0" wp14:anchorId="68A29130" wp14:editId="3FA8C17E">
            <wp:extent cx="4615966" cy="2755631"/>
            <wp:effectExtent l="0" t="0" r="0" b="6985"/>
            <wp:docPr id="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2"/>
                    <a:stretch>
                      <a:fillRect/>
                    </a:stretch>
                  </pic:blipFill>
                  <pic:spPr>
                    <a:xfrm>
                      <a:off x="0" y="0"/>
                      <a:ext cx="4615966" cy="2755631"/>
                    </a:xfrm>
                    <a:prstGeom prst="rect">
                      <a:avLst/>
                    </a:prstGeom>
                  </pic:spPr>
                </pic:pic>
              </a:graphicData>
            </a:graphic>
          </wp:inline>
        </w:drawing>
      </w:r>
    </w:p>
    <w:p w14:paraId="1D0B15E0" w14:textId="005F4058" w:rsidR="30EC6D2E" w:rsidRDefault="30EC6D2E">
      <w:r>
        <w:rPr>
          <w:noProof/>
        </w:rPr>
        <w:lastRenderedPageBreak/>
        <w:drawing>
          <wp:inline distT="0" distB="0" distL="0" distR="0" wp14:anchorId="0CCCA2BE" wp14:editId="658CC969">
            <wp:extent cx="4581524" cy="2752725"/>
            <wp:effectExtent l="0" t="0" r="0" b="0"/>
            <wp:docPr id="1186787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5D970AE5" w14:textId="51633B57" w:rsidR="30EC6D2E" w:rsidRDefault="30EC6D2E">
      <w:r>
        <w:rPr>
          <w:noProof/>
        </w:rPr>
        <w:drawing>
          <wp:inline distT="0" distB="0" distL="0" distR="0" wp14:anchorId="0F3AA99B" wp14:editId="509B46F6">
            <wp:extent cx="4581524" cy="2752725"/>
            <wp:effectExtent l="0" t="0" r="0" b="0"/>
            <wp:docPr id="21204878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5646F537" w14:textId="0D86E1DB" w:rsidR="515AE92A" w:rsidRDefault="515AE92A">
      <w:r>
        <w:rPr>
          <w:noProof/>
        </w:rPr>
        <w:lastRenderedPageBreak/>
        <w:drawing>
          <wp:inline distT="0" distB="0" distL="0" distR="0" wp14:anchorId="3E602804" wp14:editId="580DF2AD">
            <wp:extent cx="4581524" cy="2752725"/>
            <wp:effectExtent l="0" t="0" r="0" b="0"/>
            <wp:docPr id="20476952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83C29E5" w14:textId="698A0B64" w:rsidR="3995A6BD" w:rsidRDefault="3995A6BD">
      <w:r>
        <w:rPr>
          <w:noProof/>
        </w:rPr>
        <w:drawing>
          <wp:inline distT="0" distB="0" distL="0" distR="0" wp14:anchorId="56F4EB8E" wp14:editId="0731D33E">
            <wp:extent cx="4581524" cy="2752725"/>
            <wp:effectExtent l="0" t="0" r="0" b="0"/>
            <wp:docPr id="1904436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2E7A1C65" w14:textId="723BBE3E" w:rsidR="51995454" w:rsidRDefault="51995454">
      <w:r>
        <w:rPr>
          <w:noProof/>
        </w:rPr>
        <w:lastRenderedPageBreak/>
        <w:drawing>
          <wp:inline distT="0" distB="0" distL="0" distR="0" wp14:anchorId="000CDE60" wp14:editId="2A5F0B1F">
            <wp:extent cx="4581524" cy="2752725"/>
            <wp:effectExtent l="0" t="0" r="0" b="0"/>
            <wp:docPr id="855017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159C0B11" w14:textId="1CD3FB15" w:rsidR="5D8B6A77" w:rsidRDefault="5D8B6A77">
      <w:r>
        <w:rPr>
          <w:noProof/>
        </w:rPr>
        <w:drawing>
          <wp:inline distT="0" distB="0" distL="0" distR="0" wp14:anchorId="4C8BE92E" wp14:editId="5D1F3782">
            <wp:extent cx="4581524" cy="2752725"/>
            <wp:effectExtent l="0" t="0" r="0" b="0"/>
            <wp:docPr id="7762607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3487F3E" w14:textId="7CC86FC9" w:rsidR="31E2BFD7" w:rsidRDefault="31E2BFD7">
      <w:r>
        <w:rPr>
          <w:noProof/>
        </w:rPr>
        <w:lastRenderedPageBreak/>
        <w:drawing>
          <wp:inline distT="0" distB="0" distL="0" distR="0" wp14:anchorId="133F80CE" wp14:editId="23A446E7">
            <wp:extent cx="4581524" cy="2752725"/>
            <wp:effectExtent l="0" t="0" r="0" b="0"/>
            <wp:docPr id="49143062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9A81AE9" w14:textId="572F9D84" w:rsidR="3B2529DD" w:rsidRDefault="3B2529DD">
      <w:r>
        <w:rPr>
          <w:noProof/>
        </w:rPr>
        <w:drawing>
          <wp:inline distT="0" distB="0" distL="0" distR="0" wp14:anchorId="6980E651" wp14:editId="5AD403A5">
            <wp:extent cx="4581524" cy="2752725"/>
            <wp:effectExtent l="0" t="0" r="0" b="0"/>
            <wp:docPr id="5319898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4ECB695" w14:textId="35E0F339" w:rsidR="5EC4562F" w:rsidRDefault="5EC4562F">
      <w:r>
        <w:rPr>
          <w:noProof/>
        </w:rPr>
        <w:lastRenderedPageBreak/>
        <w:drawing>
          <wp:inline distT="0" distB="0" distL="0" distR="0" wp14:anchorId="19C102AA" wp14:editId="378A0CFA">
            <wp:extent cx="4581524" cy="2752725"/>
            <wp:effectExtent l="0" t="0" r="0" b="0"/>
            <wp:docPr id="200139656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2431BFA" w14:textId="401DDDCD" w:rsidR="764C2991" w:rsidRDefault="764C2991">
      <w:r>
        <w:rPr>
          <w:noProof/>
        </w:rPr>
        <w:drawing>
          <wp:inline distT="0" distB="0" distL="0" distR="0" wp14:anchorId="14640D0F" wp14:editId="680DB0A1">
            <wp:extent cx="4581524" cy="2752725"/>
            <wp:effectExtent l="0" t="0" r="0" b="0"/>
            <wp:docPr id="160244825"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A47A926" w14:textId="0DE79E42" w:rsidR="1258F60B" w:rsidRDefault="1258F60B">
      <w:r>
        <w:rPr>
          <w:noProof/>
        </w:rPr>
        <w:lastRenderedPageBreak/>
        <w:drawing>
          <wp:inline distT="0" distB="0" distL="0" distR="0" wp14:anchorId="201951E4" wp14:editId="3207CFD3">
            <wp:extent cx="4581524" cy="2752725"/>
            <wp:effectExtent l="0" t="0" r="0" b="0"/>
            <wp:docPr id="14529182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C4C6561" w14:textId="10B2A248" w:rsidR="60517B6F" w:rsidRDefault="60517B6F">
      <w:r>
        <w:rPr>
          <w:noProof/>
        </w:rPr>
        <w:drawing>
          <wp:inline distT="0" distB="0" distL="0" distR="0" wp14:anchorId="31C79ACA" wp14:editId="2DEDA7F0">
            <wp:extent cx="4581524" cy="2752725"/>
            <wp:effectExtent l="0" t="0" r="0" b="0"/>
            <wp:docPr id="1514687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EE86063" w14:textId="392AED52" w:rsidR="640A206A" w:rsidRDefault="640A206A">
      <w:r>
        <w:rPr>
          <w:noProof/>
        </w:rPr>
        <w:lastRenderedPageBreak/>
        <w:drawing>
          <wp:inline distT="0" distB="0" distL="0" distR="0" wp14:anchorId="7DDE6B5D" wp14:editId="03B8FA33">
            <wp:extent cx="4581524" cy="2752725"/>
            <wp:effectExtent l="0" t="0" r="0" b="0"/>
            <wp:docPr id="762477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4BDCFAF5" w14:textId="176F445C" w:rsidR="3720CF5D" w:rsidRDefault="3720CF5D">
      <w:r>
        <w:rPr>
          <w:noProof/>
        </w:rPr>
        <w:drawing>
          <wp:inline distT="0" distB="0" distL="0" distR="0" wp14:anchorId="5221175E" wp14:editId="3DD3D8E0">
            <wp:extent cx="4581524" cy="2752725"/>
            <wp:effectExtent l="0" t="0" r="0" b="0"/>
            <wp:docPr id="8530010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49EE9F87" w14:textId="4831A5C5" w:rsidR="2072C5D2" w:rsidRDefault="2072C5D2">
      <w:r>
        <w:rPr>
          <w:noProof/>
        </w:rPr>
        <w:lastRenderedPageBreak/>
        <w:drawing>
          <wp:inline distT="0" distB="0" distL="0" distR="0" wp14:anchorId="3742AB8C" wp14:editId="070AC298">
            <wp:extent cx="4581524" cy="2752725"/>
            <wp:effectExtent l="0" t="0" r="0" b="0"/>
            <wp:docPr id="473755888"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5B4DA64F" w14:textId="617D831F" w:rsidR="08E4997C" w:rsidRDefault="08E4997C">
      <w:r>
        <w:rPr>
          <w:noProof/>
        </w:rPr>
        <w:drawing>
          <wp:inline distT="0" distB="0" distL="0" distR="0" wp14:anchorId="2DE0C0EF" wp14:editId="7AA6208B">
            <wp:extent cx="4581524" cy="2752725"/>
            <wp:effectExtent l="0" t="0" r="0" b="0"/>
            <wp:docPr id="1439429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6AFC943C" w14:textId="739E307E" w:rsidR="0C037688" w:rsidRDefault="0C037688">
      <w:r>
        <w:rPr>
          <w:noProof/>
        </w:rPr>
        <w:lastRenderedPageBreak/>
        <w:drawing>
          <wp:inline distT="0" distB="0" distL="0" distR="0" wp14:anchorId="553007A7" wp14:editId="40A3D2C3">
            <wp:extent cx="4581524" cy="2752725"/>
            <wp:effectExtent l="0" t="0" r="0" b="0"/>
            <wp:docPr id="444328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1E8929B4" w14:textId="145DC6D2" w:rsidR="19DD4467" w:rsidRDefault="19DD4467">
      <w:r>
        <w:rPr>
          <w:noProof/>
        </w:rPr>
        <w:drawing>
          <wp:inline distT="0" distB="0" distL="0" distR="0" wp14:anchorId="56973965" wp14:editId="20904DEA">
            <wp:extent cx="4581524" cy="2752725"/>
            <wp:effectExtent l="0" t="0" r="0" b="0"/>
            <wp:docPr id="6105103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53A448F" w14:textId="192354D8" w:rsidR="2E7BBC42" w:rsidRDefault="2E7BBC42">
      <w:r>
        <w:rPr>
          <w:noProof/>
        </w:rPr>
        <w:lastRenderedPageBreak/>
        <w:drawing>
          <wp:inline distT="0" distB="0" distL="0" distR="0" wp14:anchorId="4C132D5C" wp14:editId="352EC5C5">
            <wp:extent cx="4581524" cy="2752725"/>
            <wp:effectExtent l="0" t="0" r="0" b="0"/>
            <wp:docPr id="634847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D85B0DE" w14:textId="4988C3C6" w:rsidR="5A4AD89F" w:rsidRDefault="5A4AD89F">
      <w:r>
        <w:rPr>
          <w:noProof/>
        </w:rPr>
        <w:drawing>
          <wp:inline distT="0" distB="0" distL="0" distR="0" wp14:anchorId="5B6870ED" wp14:editId="60FDE222">
            <wp:extent cx="4581524" cy="2752725"/>
            <wp:effectExtent l="0" t="0" r="0" b="0"/>
            <wp:docPr id="1614836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0E63DF0" w14:textId="767AC0D7" w:rsidR="716F2FE0" w:rsidRDefault="716F2FE0">
      <w:r>
        <w:rPr>
          <w:noProof/>
        </w:rPr>
        <w:lastRenderedPageBreak/>
        <w:drawing>
          <wp:inline distT="0" distB="0" distL="0" distR="0" wp14:anchorId="127BE01A" wp14:editId="78223963">
            <wp:extent cx="4581524" cy="2752725"/>
            <wp:effectExtent l="0" t="0" r="0" b="0"/>
            <wp:docPr id="9505585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322907BE" w14:textId="67CE73BD" w:rsidR="4B8DB956" w:rsidRDefault="4B8DB956">
      <w:r>
        <w:rPr>
          <w:noProof/>
        </w:rPr>
        <w:drawing>
          <wp:inline distT="0" distB="0" distL="0" distR="0" wp14:anchorId="61C3818F" wp14:editId="04386364">
            <wp:extent cx="4581524" cy="2752725"/>
            <wp:effectExtent l="0" t="0" r="0" b="0"/>
            <wp:docPr id="1632036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1C787455" w14:textId="099F1D3B" w:rsidR="49BC9946" w:rsidRDefault="49BC9946">
      <w:r>
        <w:rPr>
          <w:noProof/>
        </w:rPr>
        <w:lastRenderedPageBreak/>
        <w:drawing>
          <wp:inline distT="0" distB="0" distL="0" distR="0" wp14:anchorId="6139F5D9" wp14:editId="7E5CF581">
            <wp:extent cx="4581524" cy="2752725"/>
            <wp:effectExtent l="0" t="0" r="0" b="0"/>
            <wp:docPr id="307002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4A4BB03" w14:textId="0E1D664F" w:rsidR="02BCABCC" w:rsidRDefault="02BCABCC">
      <w:r>
        <w:rPr>
          <w:noProof/>
        </w:rPr>
        <w:drawing>
          <wp:inline distT="0" distB="0" distL="0" distR="0" wp14:anchorId="6E18DDCF" wp14:editId="375D0807">
            <wp:extent cx="4581524" cy="2752725"/>
            <wp:effectExtent l="0" t="0" r="0" b="0"/>
            <wp:docPr id="68351010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25CF91A4" w14:textId="1C899495" w:rsidR="529D8064" w:rsidRDefault="529D8064">
      <w:r>
        <w:rPr>
          <w:noProof/>
        </w:rPr>
        <w:lastRenderedPageBreak/>
        <w:drawing>
          <wp:inline distT="0" distB="0" distL="0" distR="0" wp14:anchorId="386433BD" wp14:editId="2039ACE5">
            <wp:extent cx="4581524" cy="2752725"/>
            <wp:effectExtent l="0" t="0" r="0" b="0"/>
            <wp:docPr id="1395006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4AAE388" w14:textId="7FC2BE8F" w:rsidR="15F3D8AC" w:rsidRDefault="15F3D8AC">
      <w:r>
        <w:rPr>
          <w:noProof/>
        </w:rPr>
        <w:drawing>
          <wp:inline distT="0" distB="0" distL="0" distR="0" wp14:anchorId="1DA4D511" wp14:editId="35A2B274">
            <wp:extent cx="4581524" cy="2752725"/>
            <wp:effectExtent l="0" t="0" r="0" b="0"/>
            <wp:docPr id="1651509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7C731421" w14:textId="6BCCDF82" w:rsidR="783B2EEF" w:rsidRDefault="783B2EEF">
      <w:r>
        <w:rPr>
          <w:noProof/>
        </w:rPr>
        <w:lastRenderedPageBreak/>
        <w:drawing>
          <wp:inline distT="0" distB="0" distL="0" distR="0" wp14:anchorId="230CE5B3" wp14:editId="17EA08B8">
            <wp:extent cx="4581524" cy="2752725"/>
            <wp:effectExtent l="0" t="0" r="0" b="0"/>
            <wp:docPr id="475910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44BE6346" w14:textId="11AD9842" w:rsidR="25A58436" w:rsidRDefault="25A58436">
      <w:r>
        <w:rPr>
          <w:noProof/>
        </w:rPr>
        <w:drawing>
          <wp:inline distT="0" distB="0" distL="0" distR="0" wp14:anchorId="54B0F9DD" wp14:editId="5A45E071">
            <wp:extent cx="4581524" cy="2752725"/>
            <wp:effectExtent l="0" t="0" r="0" b="0"/>
            <wp:docPr id="1854030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66E8F839" w14:textId="53705806" w:rsidR="7B07CBAC" w:rsidRDefault="7B07CBAC">
      <w:r>
        <w:rPr>
          <w:noProof/>
        </w:rPr>
        <w:lastRenderedPageBreak/>
        <w:drawing>
          <wp:inline distT="0" distB="0" distL="0" distR="0" wp14:anchorId="42E4809E" wp14:editId="2FA827E8">
            <wp:extent cx="4581524" cy="2752725"/>
            <wp:effectExtent l="0" t="0" r="0" b="0"/>
            <wp:docPr id="1255391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23EF8CB" w14:textId="4518E608" w:rsidR="51F6D3BC" w:rsidRDefault="51F6D3BC">
      <w:r>
        <w:rPr>
          <w:noProof/>
        </w:rPr>
        <w:drawing>
          <wp:inline distT="0" distB="0" distL="0" distR="0" wp14:anchorId="7B200917" wp14:editId="71A5AD84">
            <wp:extent cx="4581524" cy="2752725"/>
            <wp:effectExtent l="0" t="0" r="0" b="0"/>
            <wp:docPr id="1468901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4581524" cy="2752725"/>
                    </a:xfrm>
                    <a:prstGeom prst="rect">
                      <a:avLst/>
                    </a:prstGeom>
                  </pic:spPr>
                </pic:pic>
              </a:graphicData>
            </a:graphic>
          </wp:inline>
        </w:drawing>
      </w:r>
    </w:p>
    <w:p w14:paraId="09D9E419" w14:textId="4716242E" w:rsidR="007876A4" w:rsidRDefault="00DC492E" w:rsidP="008A6BDD">
      <w:pPr>
        <w:pStyle w:val="Caption"/>
      </w:pPr>
      <w:r>
        <w:lastRenderedPageBreak/>
        <w:t xml:space="preserve">Table </w:t>
      </w:r>
      <w:fldSimple w:instr=" SEQ Table \* ARABIC ">
        <w:r w:rsidR="006B2392">
          <w:rPr>
            <w:noProof/>
          </w:rPr>
          <w:t>15</w:t>
        </w:r>
      </w:fldSimple>
      <w:r>
        <w:t>:  Distribution Demand Regression Variables</w:t>
      </w:r>
    </w:p>
    <w:p w14:paraId="6943F5A0" w14:textId="5D0E54D9" w:rsidR="00DC492E" w:rsidRDefault="00DC492E" w:rsidP="008A6BDD">
      <w:pPr>
        <w:pStyle w:val="Caption"/>
      </w:pPr>
      <w:r w:rsidRPr="00DC492E">
        <w:rPr>
          <w:noProof/>
        </w:rPr>
        <w:drawing>
          <wp:inline distT="0" distB="0" distL="0" distR="0" wp14:anchorId="6DCB6E2D" wp14:editId="1FD760F1">
            <wp:extent cx="5942138" cy="46451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2138" cy="4645152"/>
                    </a:xfrm>
                    <a:prstGeom prst="rect">
                      <a:avLst/>
                    </a:prstGeom>
                    <a:noFill/>
                    <a:ln>
                      <a:noFill/>
                    </a:ln>
                  </pic:spPr>
                </pic:pic>
              </a:graphicData>
            </a:graphic>
          </wp:inline>
        </w:drawing>
      </w:r>
    </w:p>
    <w:p w14:paraId="4F38DE0C" w14:textId="31651ECB" w:rsidR="00C920DD" w:rsidRDefault="00C920DD" w:rsidP="008A6BDD"/>
    <w:p w14:paraId="0F5B2299" w14:textId="3833562E" w:rsidR="00C920DD" w:rsidRDefault="00C920DD" w:rsidP="008A6BDD">
      <w:pPr>
        <w:pStyle w:val="Caption"/>
      </w:pPr>
      <w:r>
        <w:lastRenderedPageBreak/>
        <w:t xml:space="preserve">Table </w:t>
      </w:r>
      <w:fldSimple w:instr=" SEQ Table \* ARABIC ">
        <w:r w:rsidR="006B2392">
          <w:rPr>
            <w:noProof/>
          </w:rPr>
          <w:t>16</w:t>
        </w:r>
      </w:fldSimple>
      <w:r>
        <w:t>:  Distribution Demand Regression Model Fit</w:t>
      </w:r>
    </w:p>
    <w:p w14:paraId="50BEC2A6" w14:textId="2E2366AE" w:rsidR="00C920DD" w:rsidRDefault="00C920DD" w:rsidP="008A6BDD">
      <w:pPr>
        <w:pStyle w:val="NoSpacing"/>
      </w:pPr>
      <w:r w:rsidRPr="00C920DD">
        <w:rPr>
          <w:noProof/>
          <w:lang w:eastAsia="en-US"/>
        </w:rPr>
        <w:drawing>
          <wp:inline distT="0" distB="0" distL="0" distR="0" wp14:anchorId="39428E4F" wp14:editId="1F26F85B">
            <wp:extent cx="2657475" cy="3248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7475" cy="3248025"/>
                    </a:xfrm>
                    <a:prstGeom prst="rect">
                      <a:avLst/>
                    </a:prstGeom>
                    <a:noFill/>
                    <a:ln>
                      <a:noFill/>
                    </a:ln>
                  </pic:spPr>
                </pic:pic>
              </a:graphicData>
            </a:graphic>
          </wp:inline>
        </w:drawing>
      </w:r>
    </w:p>
    <w:p w14:paraId="46BD339F" w14:textId="64267FC6" w:rsidR="00C920DD" w:rsidRDefault="00C920DD" w:rsidP="008A6BDD">
      <w:pPr>
        <w:pStyle w:val="NoSpacing"/>
        <w:rPr>
          <w:i/>
        </w:rPr>
      </w:pPr>
      <w:r w:rsidRPr="008A6BDD">
        <w:rPr>
          <w:i/>
          <w:iCs/>
        </w:rPr>
        <w:t>Note that not all climate zones have readily available load data.  In those cases, the regression equations from comparable climate zones were applied.</w:t>
      </w:r>
    </w:p>
    <w:p w14:paraId="3400C937" w14:textId="4E6B5C0F" w:rsidR="00701197" w:rsidRPr="00813981" w:rsidRDefault="00701197" w:rsidP="008A6BDD">
      <w:pPr>
        <w:pStyle w:val="Heading2"/>
      </w:pPr>
      <w:bookmarkStart w:id="72" w:name="_Toc493516883"/>
      <w:r w:rsidRPr="00C97CE1">
        <w:lastRenderedPageBreak/>
        <w:t>Distribution Load Simulation Reg</w:t>
      </w:r>
      <w:r w:rsidRPr="00020926">
        <w:t>ression Model</w:t>
      </w:r>
      <w:r w:rsidR="00A94233" w:rsidRPr="008A6BDD">
        <w:rPr>
          <w:i/>
        </w:rPr>
        <w:t xml:space="preserve"> Specifications</w:t>
      </w:r>
      <w:bookmarkEnd w:id="72"/>
    </w:p>
    <w:p w14:paraId="6238F174" w14:textId="491A8095" w:rsidR="77BD5CEC" w:rsidRDefault="492AF21E" w:rsidP="008A6BDD">
      <w:pPr>
        <w:pStyle w:val="Caption"/>
      </w:pPr>
      <w:r w:rsidRPr="492AF21E">
        <w:t>CZ2</w:t>
      </w:r>
    </w:p>
    <w:p w14:paraId="4ADABA59" w14:textId="69DFF0F9" w:rsidR="77BD5CEC" w:rsidRDefault="00A94233">
      <w:r>
        <w:rPr>
          <w:noProof/>
        </w:rPr>
        <w:drawing>
          <wp:inline distT="0" distB="0" distL="0" distR="0" wp14:anchorId="3A71B300" wp14:editId="3957BFD2">
            <wp:extent cx="3044952" cy="6483096"/>
            <wp:effectExtent l="0" t="0" r="3175"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3044952" cy="6483096"/>
                    </a:xfrm>
                    <a:prstGeom prst="rect">
                      <a:avLst/>
                    </a:prstGeom>
                  </pic:spPr>
                </pic:pic>
              </a:graphicData>
            </a:graphic>
          </wp:inline>
        </w:drawing>
      </w:r>
      <w:r>
        <w:br w:type="textWrapping" w:clear="all"/>
      </w:r>
    </w:p>
    <w:p w14:paraId="0AD77018" w14:textId="02517145" w:rsidR="25C2119A" w:rsidRDefault="25C2119A" w:rsidP="008A6BDD">
      <w:pPr>
        <w:pStyle w:val="Caption"/>
      </w:pPr>
      <w:r w:rsidRPr="44F07EA1">
        <w:lastRenderedPageBreak/>
        <w:t>CZ3</w:t>
      </w:r>
    </w:p>
    <w:p w14:paraId="2D277DB8" w14:textId="02517145" w:rsidR="25C2119A" w:rsidRDefault="25C2119A">
      <w:r>
        <w:rPr>
          <w:noProof/>
        </w:rPr>
        <w:drawing>
          <wp:inline distT="0" distB="0" distL="0" distR="0" wp14:anchorId="0BBE586D" wp14:editId="582A4168">
            <wp:extent cx="3123634" cy="7394027"/>
            <wp:effectExtent l="0" t="0" r="635" b="0"/>
            <wp:docPr id="1321859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3130138" cy="7409423"/>
                    </a:xfrm>
                    <a:prstGeom prst="rect">
                      <a:avLst/>
                    </a:prstGeom>
                  </pic:spPr>
                </pic:pic>
              </a:graphicData>
            </a:graphic>
          </wp:inline>
        </w:drawing>
      </w:r>
    </w:p>
    <w:p w14:paraId="0DB5BC20" w14:textId="44F46A1D" w:rsidR="44F07EA1" w:rsidRDefault="413677E5" w:rsidP="008A6BDD">
      <w:pPr>
        <w:pStyle w:val="Caption"/>
      </w:pPr>
      <w:r>
        <w:lastRenderedPageBreak/>
        <w:t>CZ4</w:t>
      </w:r>
    </w:p>
    <w:p w14:paraId="0F56DB11" w14:textId="26D42B7A" w:rsidR="413677E5" w:rsidRDefault="413677E5">
      <w:r>
        <w:rPr>
          <w:noProof/>
        </w:rPr>
        <w:drawing>
          <wp:inline distT="0" distB="0" distL="0" distR="0" wp14:anchorId="2B5AD347" wp14:editId="70F7452B">
            <wp:extent cx="2950469" cy="6984124"/>
            <wp:effectExtent l="0" t="0" r="2540" b="7620"/>
            <wp:docPr id="358334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2965226" cy="7019056"/>
                    </a:xfrm>
                    <a:prstGeom prst="rect">
                      <a:avLst/>
                    </a:prstGeom>
                  </pic:spPr>
                </pic:pic>
              </a:graphicData>
            </a:graphic>
          </wp:inline>
        </w:drawing>
      </w:r>
    </w:p>
    <w:p w14:paraId="3EBCA83B" w14:textId="55869E17" w:rsidR="413677E5" w:rsidRDefault="413677E5"/>
    <w:p w14:paraId="42584C9C" w14:textId="2519BBFC" w:rsidR="44F07EA1" w:rsidRDefault="48FDF49C" w:rsidP="008A6BDD">
      <w:pPr>
        <w:pStyle w:val="Caption"/>
      </w:pPr>
      <w:r>
        <w:lastRenderedPageBreak/>
        <w:t>CZ6</w:t>
      </w:r>
    </w:p>
    <w:p w14:paraId="1F92D87F" w14:textId="78A07587" w:rsidR="492AF21E" w:rsidRDefault="48FDF49C">
      <w:r>
        <w:rPr>
          <w:noProof/>
        </w:rPr>
        <w:drawing>
          <wp:inline distT="0" distB="0" distL="0" distR="0" wp14:anchorId="7DE3AACB" wp14:editId="3F4D17C8">
            <wp:extent cx="3367252" cy="7346731"/>
            <wp:effectExtent l="0" t="0" r="5080" b="6985"/>
            <wp:docPr id="485560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3374016" cy="7361489"/>
                    </a:xfrm>
                    <a:prstGeom prst="rect">
                      <a:avLst/>
                    </a:prstGeom>
                  </pic:spPr>
                </pic:pic>
              </a:graphicData>
            </a:graphic>
          </wp:inline>
        </w:drawing>
      </w:r>
    </w:p>
    <w:p w14:paraId="7BC40A00" w14:textId="70508629" w:rsidR="77BD5CEC" w:rsidRDefault="6207A5B9" w:rsidP="008A6BDD">
      <w:pPr>
        <w:pStyle w:val="Caption"/>
      </w:pPr>
      <w:r>
        <w:lastRenderedPageBreak/>
        <w:t>CZ7</w:t>
      </w:r>
    </w:p>
    <w:p w14:paraId="4C3BB315" w14:textId="4640B124" w:rsidR="6207A5B9" w:rsidRDefault="6207A5B9">
      <w:r>
        <w:rPr>
          <w:noProof/>
        </w:rPr>
        <w:drawing>
          <wp:inline distT="0" distB="0" distL="0" distR="0" wp14:anchorId="3E68CDEC" wp14:editId="1454B8E6">
            <wp:extent cx="3410258" cy="7267903"/>
            <wp:effectExtent l="0" t="0" r="0" b="0"/>
            <wp:docPr id="16276914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3420288" cy="7289279"/>
                    </a:xfrm>
                    <a:prstGeom prst="rect">
                      <a:avLst/>
                    </a:prstGeom>
                  </pic:spPr>
                </pic:pic>
              </a:graphicData>
            </a:graphic>
          </wp:inline>
        </w:drawing>
      </w:r>
    </w:p>
    <w:p w14:paraId="7BBB344D" w14:textId="2852A568" w:rsidR="6207A5B9" w:rsidRDefault="6207A5B9" w:rsidP="008A6BDD">
      <w:pPr>
        <w:pStyle w:val="Caption"/>
      </w:pPr>
      <w:r w:rsidRPr="41D85F30">
        <w:lastRenderedPageBreak/>
        <w:t>CZ8</w:t>
      </w:r>
    </w:p>
    <w:p w14:paraId="2EBA5AA1" w14:textId="6083235B" w:rsidR="41D85F30" w:rsidRDefault="41D85F30">
      <w:r>
        <w:rPr>
          <w:noProof/>
        </w:rPr>
        <w:drawing>
          <wp:inline distT="0" distB="0" distL="0" distR="0" wp14:anchorId="6ADB5036" wp14:editId="4438E6D1">
            <wp:extent cx="3255688" cy="7157544"/>
            <wp:effectExtent l="0" t="0" r="1905" b="5715"/>
            <wp:docPr id="1677528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264193" cy="7176241"/>
                    </a:xfrm>
                    <a:prstGeom prst="rect">
                      <a:avLst/>
                    </a:prstGeom>
                  </pic:spPr>
                </pic:pic>
              </a:graphicData>
            </a:graphic>
          </wp:inline>
        </w:drawing>
      </w:r>
    </w:p>
    <w:p w14:paraId="56C55EA2" w14:textId="378F210B" w:rsidR="41D85F30" w:rsidRDefault="41D85F30" w:rsidP="008A6BDD">
      <w:pPr>
        <w:pStyle w:val="Caption"/>
      </w:pPr>
      <w:r w:rsidRPr="2C462462">
        <w:lastRenderedPageBreak/>
        <w:t>CZ9</w:t>
      </w:r>
    </w:p>
    <w:p w14:paraId="69D26A37" w14:textId="113DF10C" w:rsidR="2C462462" w:rsidRDefault="2C462462">
      <w:r>
        <w:rPr>
          <w:noProof/>
        </w:rPr>
        <w:drawing>
          <wp:inline distT="0" distB="0" distL="0" distR="0" wp14:anchorId="61EE5462" wp14:editId="100BD2E7">
            <wp:extent cx="3302219" cy="7204841"/>
            <wp:effectExtent l="0" t="0" r="0" b="0"/>
            <wp:docPr id="1278381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3311033" cy="7224071"/>
                    </a:xfrm>
                    <a:prstGeom prst="rect">
                      <a:avLst/>
                    </a:prstGeom>
                  </pic:spPr>
                </pic:pic>
              </a:graphicData>
            </a:graphic>
          </wp:inline>
        </w:drawing>
      </w:r>
    </w:p>
    <w:p w14:paraId="3F0A9737" w14:textId="3F0FCBA8" w:rsidR="2C462462" w:rsidRDefault="2C462462" w:rsidP="008A6BDD">
      <w:pPr>
        <w:pStyle w:val="Caption"/>
      </w:pPr>
      <w:r w:rsidRPr="09F81006">
        <w:lastRenderedPageBreak/>
        <w:t>CZ 10</w:t>
      </w:r>
    </w:p>
    <w:p w14:paraId="23D39B57" w14:textId="3EC9A372" w:rsidR="09F81006" w:rsidRDefault="447D286F">
      <w:r>
        <w:rPr>
          <w:noProof/>
        </w:rPr>
        <w:drawing>
          <wp:inline distT="0" distB="0" distL="0" distR="0" wp14:anchorId="1F663033" wp14:editId="431083FE">
            <wp:extent cx="3224541" cy="7236372"/>
            <wp:effectExtent l="0" t="0" r="0" b="3175"/>
            <wp:docPr id="500250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3234765" cy="7259317"/>
                    </a:xfrm>
                    <a:prstGeom prst="rect">
                      <a:avLst/>
                    </a:prstGeom>
                  </pic:spPr>
                </pic:pic>
              </a:graphicData>
            </a:graphic>
          </wp:inline>
        </w:drawing>
      </w:r>
    </w:p>
    <w:p w14:paraId="61264BC2" w14:textId="37561A55" w:rsidR="09F81006" w:rsidRDefault="09F81006" w:rsidP="008A6BDD">
      <w:pPr>
        <w:pStyle w:val="Caption"/>
      </w:pPr>
      <w:r w:rsidRPr="650AC115">
        <w:lastRenderedPageBreak/>
        <w:t>CZ1</w:t>
      </w:r>
      <w:r w:rsidR="33D0320E" w:rsidRPr="650AC115">
        <w:t>2</w:t>
      </w:r>
    </w:p>
    <w:p w14:paraId="53847694" w14:textId="11595A9D" w:rsidR="650AC115" w:rsidRDefault="650AC115">
      <w:r>
        <w:rPr>
          <w:noProof/>
        </w:rPr>
        <w:drawing>
          <wp:inline distT="0" distB="0" distL="0" distR="0" wp14:anchorId="2310722C" wp14:editId="1F1C403C">
            <wp:extent cx="3440005" cy="7220606"/>
            <wp:effectExtent l="0" t="0" r="8255" b="0"/>
            <wp:docPr id="513478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3448234" cy="7237878"/>
                    </a:xfrm>
                    <a:prstGeom prst="rect">
                      <a:avLst/>
                    </a:prstGeom>
                  </pic:spPr>
                </pic:pic>
              </a:graphicData>
            </a:graphic>
          </wp:inline>
        </w:drawing>
      </w:r>
    </w:p>
    <w:p w14:paraId="1CD81701" w14:textId="3373D7EA" w:rsidR="33D0320E" w:rsidRDefault="33D0320E" w:rsidP="008A6BDD">
      <w:pPr>
        <w:pStyle w:val="Caption"/>
      </w:pPr>
      <w:r>
        <w:lastRenderedPageBreak/>
        <w:t>CZ13</w:t>
      </w:r>
    </w:p>
    <w:p w14:paraId="5AFE2055" w14:textId="52D56F65" w:rsidR="33D0320E" w:rsidRDefault="33D0320E">
      <w:r>
        <w:rPr>
          <w:noProof/>
        </w:rPr>
        <w:drawing>
          <wp:inline distT="0" distB="0" distL="0" distR="0" wp14:anchorId="5B273469" wp14:editId="59C0437C">
            <wp:extent cx="3613714" cy="7236372"/>
            <wp:effectExtent l="0" t="0" r="6350" b="3175"/>
            <wp:docPr id="185015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623489" cy="7255945"/>
                    </a:xfrm>
                    <a:prstGeom prst="rect">
                      <a:avLst/>
                    </a:prstGeom>
                  </pic:spPr>
                </pic:pic>
              </a:graphicData>
            </a:graphic>
          </wp:inline>
        </w:drawing>
      </w:r>
    </w:p>
    <w:p w14:paraId="2559D71A" w14:textId="574002FE" w:rsidR="33D0320E" w:rsidRDefault="33D0320E" w:rsidP="008A6BDD">
      <w:pPr>
        <w:pStyle w:val="Caption"/>
      </w:pPr>
      <w:r w:rsidRPr="5D92EB5A">
        <w:lastRenderedPageBreak/>
        <w:t>C</w:t>
      </w:r>
      <w:r w:rsidR="5D92EB5A" w:rsidRPr="5D92EB5A">
        <w:t xml:space="preserve">Z </w:t>
      </w:r>
      <w:r w:rsidRPr="5D92EB5A">
        <w:t>14</w:t>
      </w:r>
    </w:p>
    <w:p w14:paraId="0B9DC222" w14:textId="6C2765C7" w:rsidR="5D92EB5A" w:rsidRDefault="5D92EB5A">
      <w:r>
        <w:rPr>
          <w:noProof/>
        </w:rPr>
        <w:drawing>
          <wp:inline distT="0" distB="0" distL="0" distR="0" wp14:anchorId="60550ED3" wp14:editId="6DC91A3D">
            <wp:extent cx="3566476" cy="7141779"/>
            <wp:effectExtent l="0" t="0" r="0" b="2540"/>
            <wp:docPr id="1816466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571431" cy="7151702"/>
                    </a:xfrm>
                    <a:prstGeom prst="rect">
                      <a:avLst/>
                    </a:prstGeom>
                  </pic:spPr>
                </pic:pic>
              </a:graphicData>
            </a:graphic>
          </wp:inline>
        </w:drawing>
      </w:r>
    </w:p>
    <w:p w14:paraId="43C0999F" w14:textId="4B93CEEA" w:rsidR="4C3BBB81" w:rsidRDefault="4C3BBB81" w:rsidP="008A6BDD">
      <w:pPr>
        <w:pStyle w:val="Caption"/>
      </w:pPr>
      <w:r>
        <w:lastRenderedPageBreak/>
        <w:t>CZ15</w:t>
      </w:r>
    </w:p>
    <w:p w14:paraId="6108D7C2" w14:textId="5890195D" w:rsidR="5D92EB5A" w:rsidRDefault="4C3BBB81">
      <w:r>
        <w:rPr>
          <w:noProof/>
        </w:rPr>
        <w:drawing>
          <wp:inline distT="0" distB="0" distL="0" distR="0" wp14:anchorId="01543333" wp14:editId="1F969D38">
            <wp:extent cx="3302000" cy="7315200"/>
            <wp:effectExtent l="0" t="0" r="0" b="0"/>
            <wp:docPr id="1766464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3313621" cy="7340945"/>
                    </a:xfrm>
                    <a:prstGeom prst="rect">
                      <a:avLst/>
                    </a:prstGeom>
                  </pic:spPr>
                </pic:pic>
              </a:graphicData>
            </a:graphic>
          </wp:inline>
        </w:drawing>
      </w:r>
    </w:p>
    <w:p w14:paraId="56082D65" w14:textId="453BB01A" w:rsidR="5D92EB5A" w:rsidRDefault="31AB0B47" w:rsidP="008A6BDD">
      <w:pPr>
        <w:pStyle w:val="Caption"/>
      </w:pPr>
      <w:r>
        <w:lastRenderedPageBreak/>
        <w:t>CZ16</w:t>
      </w:r>
    </w:p>
    <w:p w14:paraId="5D47DBE1" w14:textId="645AC621" w:rsidR="31AB0B47" w:rsidRDefault="31AB0B47">
      <w:r>
        <w:rPr>
          <w:noProof/>
        </w:rPr>
        <w:drawing>
          <wp:inline distT="0" distB="0" distL="0" distR="0" wp14:anchorId="0386BC14" wp14:editId="4D641997">
            <wp:extent cx="3437211" cy="7173310"/>
            <wp:effectExtent l="0" t="0" r="0" b="0"/>
            <wp:docPr id="353947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a:extLst>
                        <a:ext uri="{28A0092B-C50C-407E-A947-70E740481C1C}">
                          <a14:useLocalDpi xmlns:a14="http://schemas.microsoft.com/office/drawing/2010/main" val="0"/>
                        </a:ext>
                      </a:extLst>
                    </a:blip>
                    <a:stretch>
                      <a:fillRect/>
                    </a:stretch>
                  </pic:blipFill>
                  <pic:spPr>
                    <a:xfrm>
                      <a:off x="0" y="0"/>
                      <a:ext cx="3443038" cy="7185471"/>
                    </a:xfrm>
                    <a:prstGeom prst="rect">
                      <a:avLst/>
                    </a:prstGeom>
                  </pic:spPr>
                </pic:pic>
              </a:graphicData>
            </a:graphic>
          </wp:inline>
        </w:drawing>
      </w:r>
    </w:p>
    <w:p w14:paraId="38757063" w14:textId="18F99D16" w:rsidR="48773D83" w:rsidRDefault="48773D83">
      <w:r>
        <w:lastRenderedPageBreak/>
        <w:br w:type="page"/>
      </w:r>
    </w:p>
    <w:p w14:paraId="657D5C3E" w14:textId="3A15D909" w:rsidR="63B5EF78" w:rsidRPr="00E439E8" w:rsidRDefault="63B5EF78">
      <w:pPr>
        <w:pStyle w:val="Heading1"/>
        <w:rPr>
          <w:lang w:val="en-US"/>
        </w:rPr>
      </w:pPr>
      <w:bookmarkStart w:id="73" w:name="_Toc493516884"/>
      <w:r w:rsidRPr="0078015E">
        <w:lastRenderedPageBreak/>
        <w:t xml:space="preserve">User </w:t>
      </w:r>
      <w:r w:rsidR="5EBC713F" w:rsidRPr="0078015E">
        <w:t xml:space="preserve">Quick </w:t>
      </w:r>
      <w:r w:rsidRPr="0078015E">
        <w:t>Guide</w:t>
      </w:r>
      <w:r w:rsidR="4941E8D8" w:rsidRPr="0078015E">
        <w:t xml:space="preserve">   </w:t>
      </w:r>
      <w:r w:rsidR="00B43108">
        <w:rPr>
          <w:lang w:val="en-US"/>
        </w:rPr>
        <w:t>ACC 2016 v1</w:t>
      </w:r>
      <w:bookmarkEnd w:id="73"/>
    </w:p>
    <w:p w14:paraId="4B5BCB3E" w14:textId="64BD6014" w:rsidR="542F65D8" w:rsidRPr="00020926" w:rsidRDefault="269F9AF4" w:rsidP="008A6BDD">
      <w:pPr>
        <w:pStyle w:val="Heading2"/>
      </w:pPr>
      <w:bookmarkStart w:id="74" w:name="_Toc493516885"/>
      <w:r w:rsidRPr="00C97CE1">
        <w:t>Purpose</w:t>
      </w:r>
      <w:bookmarkEnd w:id="74"/>
    </w:p>
    <w:p w14:paraId="35DEF7FC" w14:textId="25F07629" w:rsidR="542F65D8" w:rsidRDefault="22C612E7">
      <w:r>
        <w:t xml:space="preserve">The Avoided Cost </w:t>
      </w:r>
      <w:r w:rsidR="00B43108">
        <w:t xml:space="preserve">Calculator </w:t>
      </w:r>
      <w:r>
        <w:t>(</w:t>
      </w:r>
      <w:r w:rsidR="00B43108">
        <w:t>ACC</w:t>
      </w:r>
      <w:r>
        <w:t xml:space="preserve">) </w:t>
      </w:r>
      <w:r w:rsidR="4612FEEA">
        <w:t xml:space="preserve">is a Microsoft Excel-based tool to </w:t>
      </w:r>
      <w:r w:rsidR="267EB7E2">
        <w:t xml:space="preserve">calculate electricity avoided costs </w:t>
      </w:r>
      <w:r w:rsidR="17562FED">
        <w:t xml:space="preserve">by hour and component.  </w:t>
      </w:r>
      <w:r w:rsidR="2A1C32A5">
        <w:t xml:space="preserve">The </w:t>
      </w:r>
      <w:r w:rsidR="00B43108">
        <w:t xml:space="preserve">ACC </w:t>
      </w:r>
      <w:r w:rsidR="2A1C32A5">
        <w:t>shows levelized hourly c</w:t>
      </w:r>
      <w:r w:rsidR="5C41FFA1">
        <w:t>osts by component for one year on the</w:t>
      </w:r>
      <w:r w:rsidR="5C41FFA1" w:rsidRPr="008A6BDD">
        <w:rPr>
          <w:b/>
          <w:bCs/>
        </w:rPr>
        <w:t xml:space="preserve"> </w:t>
      </w:r>
      <w:r w:rsidR="00CE1B8E">
        <w:rPr>
          <w:b/>
          <w:bCs/>
        </w:rPr>
        <w:t>Dashboard</w:t>
      </w:r>
      <w:r w:rsidR="5C41FFA1">
        <w:t xml:space="preserve"> tab.  </w:t>
      </w:r>
      <w:r w:rsidR="398EA8BC">
        <w:t xml:space="preserve">The </w:t>
      </w:r>
      <w:r w:rsidR="00B43108">
        <w:t xml:space="preserve">ACC </w:t>
      </w:r>
      <w:r w:rsidR="398EA8BC">
        <w:t>ca</w:t>
      </w:r>
      <w:r w:rsidR="608AEB6E">
        <w:t xml:space="preserve">n also generate the </w:t>
      </w:r>
      <w:r w:rsidR="00B43108">
        <w:t xml:space="preserve">31 </w:t>
      </w:r>
      <w:r w:rsidR="608AEB6E">
        <w:t>year matri</w:t>
      </w:r>
      <w:r w:rsidR="09FFC427">
        <w:t>ces</w:t>
      </w:r>
      <w:r w:rsidR="608AEB6E">
        <w:t xml:space="preserve"> of hourly costs </w:t>
      </w:r>
      <w:r w:rsidR="5DB03B08">
        <w:t>by climat</w:t>
      </w:r>
      <w:r w:rsidR="09FFC427">
        <w:t xml:space="preserve">e zone </w:t>
      </w:r>
      <w:r w:rsidR="5DB03B08">
        <w:t xml:space="preserve">that are used for energy efficiency evaluation in California.  </w:t>
      </w:r>
      <w:r w:rsidR="09FFC427">
        <w:t xml:space="preserve">These </w:t>
      </w:r>
      <w:r w:rsidR="00B43108">
        <w:t xml:space="preserve">31 </w:t>
      </w:r>
      <w:r w:rsidR="6A7F16D0">
        <w:t>year matrices are generated via VBA code and executed via the</w:t>
      </w:r>
      <w:r w:rsidR="6A7F16D0" w:rsidRPr="008A6BDD">
        <w:rPr>
          <w:b/>
          <w:bCs/>
        </w:rPr>
        <w:t xml:space="preserve"> </w:t>
      </w:r>
      <w:r w:rsidR="56BFC27A" w:rsidRPr="008A6BDD">
        <w:rPr>
          <w:b/>
          <w:bCs/>
        </w:rPr>
        <w:t>Export Annual Avoided Costs</w:t>
      </w:r>
      <w:r w:rsidR="00B43108">
        <w:rPr>
          <w:b/>
          <w:bCs/>
        </w:rPr>
        <w:t xml:space="preserve"> – ALL CZ </w:t>
      </w:r>
      <w:r w:rsidR="00B43108" w:rsidRPr="00E439E8">
        <w:rPr>
          <w:bCs/>
        </w:rPr>
        <w:t>and</w:t>
      </w:r>
      <w:r w:rsidR="00B43108">
        <w:rPr>
          <w:b/>
          <w:bCs/>
        </w:rPr>
        <w:t xml:space="preserve"> Export Gen 7 </w:t>
      </w:r>
      <w:proofErr w:type="spellStart"/>
      <w:r w:rsidR="00B43108">
        <w:rPr>
          <w:b/>
          <w:bCs/>
        </w:rPr>
        <w:t>Env</w:t>
      </w:r>
      <w:proofErr w:type="spellEnd"/>
      <w:r w:rsidR="00B43108">
        <w:rPr>
          <w:b/>
          <w:bCs/>
        </w:rPr>
        <w:t xml:space="preserve"> for EE</w:t>
      </w:r>
      <w:r w:rsidR="56BFC27A">
        <w:t xml:space="preserve"> </w:t>
      </w:r>
      <w:proofErr w:type="spellStart"/>
      <w:r w:rsidR="56BFC27A">
        <w:t>butto</w:t>
      </w:r>
      <w:r w:rsidR="00B43108">
        <w:t>s</w:t>
      </w:r>
      <w:r w:rsidR="56BFC27A">
        <w:t>n</w:t>
      </w:r>
      <w:proofErr w:type="spellEnd"/>
      <w:r w:rsidR="56BFC27A">
        <w:t xml:space="preserve"> on the </w:t>
      </w:r>
      <w:r w:rsidR="00CE1B8E">
        <w:rPr>
          <w:b/>
          <w:bCs/>
        </w:rPr>
        <w:t>Dashboard</w:t>
      </w:r>
      <w:r w:rsidR="56BFC27A">
        <w:t xml:space="preserve"> tab.  </w:t>
      </w:r>
    </w:p>
    <w:p w14:paraId="2CF4C4B6" w14:textId="3E5A9F3E" w:rsidR="4B30F5A7" w:rsidRDefault="5EA42FD1" w:rsidP="008A6BDD">
      <w:pPr>
        <w:pStyle w:val="Heading2"/>
      </w:pPr>
      <w:bookmarkStart w:id="75" w:name="_Toc493516886"/>
      <w:r w:rsidRPr="5EA42FD1">
        <w:t>Using the Model</w:t>
      </w:r>
      <w:bookmarkEnd w:id="75"/>
    </w:p>
    <w:p w14:paraId="3FD72010" w14:textId="451DFFD5" w:rsidR="397B6B0F" w:rsidRDefault="397B6B0F">
      <w:r w:rsidRPr="397B6B0F">
        <w:t xml:space="preserve">The </w:t>
      </w:r>
      <w:r w:rsidR="00CE1B8E">
        <w:rPr>
          <w:b/>
          <w:bCs/>
          <w:color w:val="315361" w:themeColor="text2"/>
        </w:rPr>
        <w:t xml:space="preserve">Dashboard </w:t>
      </w:r>
      <w:r w:rsidRPr="397B6B0F">
        <w:t>tab</w:t>
      </w:r>
      <w:r w:rsidR="4924F73D" w:rsidRPr="25ED4B98">
        <w:t xml:space="preserve"> </w:t>
      </w:r>
      <w:r w:rsidRPr="397B6B0F">
        <w:t xml:space="preserve">will be the primary tab </w:t>
      </w:r>
      <w:r w:rsidR="4924F73D" w:rsidRPr="4924F73D">
        <w:t xml:space="preserve">used by most users of the </w:t>
      </w:r>
      <w:r w:rsidR="00B43108">
        <w:t>ACC</w:t>
      </w:r>
      <w:r w:rsidR="4924F73D" w:rsidRPr="4924F73D">
        <w:t xml:space="preserve">.  </w:t>
      </w:r>
      <w:r w:rsidR="67D066D2" w:rsidRPr="4924F73D">
        <w:t xml:space="preserve">The tab </w:t>
      </w:r>
      <w:r w:rsidR="00B43108" w:rsidRPr="4924F73D">
        <w:t>provide</w:t>
      </w:r>
      <w:r w:rsidR="00B43108">
        <w:t>s</w:t>
      </w:r>
      <w:r w:rsidR="00B43108" w:rsidRPr="4924F73D">
        <w:t xml:space="preserve"> </w:t>
      </w:r>
      <w:r w:rsidR="67D066D2" w:rsidRPr="4924F73D">
        <w:t>user con</w:t>
      </w:r>
      <w:r w:rsidR="70EE2583" w:rsidRPr="4924F73D">
        <w:t xml:space="preserve">trols for the electricity avoided cost components to include in </w:t>
      </w:r>
      <w:r w:rsidR="00B43108">
        <w:t>the</w:t>
      </w:r>
      <w:r w:rsidR="00B43108" w:rsidRPr="4924F73D">
        <w:t xml:space="preserve"> </w:t>
      </w:r>
      <w:r w:rsidR="70EE2583" w:rsidRPr="4924F73D">
        <w:t>output</w:t>
      </w:r>
      <w:r w:rsidR="00B43108">
        <w:t xml:space="preserve">.  </w:t>
      </w:r>
      <w:r w:rsidR="0517B396" w:rsidRPr="4924F73D">
        <w:t xml:space="preserve">The tab also allows the user to </w:t>
      </w:r>
      <w:r w:rsidR="6BDDDCCD" w:rsidRPr="4924F73D">
        <w:t>control which year, or which str</w:t>
      </w:r>
      <w:r w:rsidR="1E4BC8E2" w:rsidRPr="4924F73D">
        <w:t>e</w:t>
      </w:r>
      <w:r w:rsidR="6BDDDCCD" w:rsidRPr="4924F73D">
        <w:t xml:space="preserve">am of years is represented in the </w:t>
      </w:r>
      <w:r w:rsidR="10EC0ED0" w:rsidRPr="4924F73D">
        <w:t xml:space="preserve">tab </w:t>
      </w:r>
      <w:r w:rsidR="6BDDDCCD" w:rsidRPr="4924F73D">
        <w:t>output</w:t>
      </w:r>
      <w:r w:rsidR="10EC0ED0" w:rsidRPr="4924F73D">
        <w:t xml:space="preserve">.  The </w:t>
      </w:r>
      <w:r w:rsidR="00B43108" w:rsidRPr="00E439E8">
        <w:rPr>
          <w:b/>
        </w:rPr>
        <w:t>Dashboard</w:t>
      </w:r>
      <w:r w:rsidR="00B43108">
        <w:t xml:space="preserve"> tab also provides</w:t>
      </w:r>
      <w:r w:rsidR="10EC0ED0" w:rsidRPr="4924F73D">
        <w:t xml:space="preserve"> figures that summarize the </w:t>
      </w:r>
      <w:r w:rsidR="6506BF6D" w:rsidRPr="4924F73D">
        <w:t>resu</w:t>
      </w:r>
      <w:r w:rsidR="1E4BC8E2" w:rsidRPr="4924F73D">
        <w:t>lt</w:t>
      </w:r>
      <w:r w:rsidR="6506BF6D" w:rsidRPr="4924F73D">
        <w:t>s of the</w:t>
      </w:r>
      <w:r w:rsidR="6506BF6D" w:rsidRPr="25ED4B98">
        <w:t xml:space="preserve"> </w:t>
      </w:r>
      <w:r w:rsidR="6506BF6D" w:rsidRPr="4924F73D">
        <w:t>user</w:t>
      </w:r>
      <w:r w:rsidR="1E4BC8E2" w:rsidRPr="25ED4B98">
        <w:t>'</w:t>
      </w:r>
      <w:r w:rsidR="6506BF6D" w:rsidRPr="4924F73D">
        <w:t xml:space="preserve">s </w:t>
      </w:r>
      <w:r w:rsidR="10EC0ED0" w:rsidRPr="4924F73D">
        <w:t>avoide</w:t>
      </w:r>
      <w:r w:rsidR="6506BF6D" w:rsidRPr="4924F73D">
        <w:t>d cost choices</w:t>
      </w:r>
      <w:r w:rsidR="1E4BC8E2" w:rsidRPr="4924F73D">
        <w:t xml:space="preserve">, as well as the </w:t>
      </w:r>
      <w:r w:rsidR="043C1CE1" w:rsidRPr="4924F73D">
        <w:t>associated levelized hourly avoided costs by component (located</w:t>
      </w:r>
      <w:r w:rsidR="51EFAB56" w:rsidRPr="4924F73D">
        <w:t xml:space="preserve"> just below the user controls).</w:t>
      </w:r>
    </w:p>
    <w:p w14:paraId="1CF1CC93" w14:textId="706C75F7" w:rsidR="51EFAB56" w:rsidRDefault="0078015E" w:rsidP="008A6BDD">
      <w:pPr>
        <w:pStyle w:val="Caption"/>
      </w:pPr>
      <w:r>
        <w:t xml:space="preserve">Table </w:t>
      </w:r>
      <w:fldSimple w:instr=" SEQ Table \* ARABIC ">
        <w:r w:rsidR="006B2392">
          <w:rPr>
            <w:noProof/>
          </w:rPr>
          <w:t>17</w:t>
        </w:r>
      </w:fldSimple>
      <w:r>
        <w:t xml:space="preserve">:  </w:t>
      </w:r>
      <w:r w:rsidR="3D64678B">
        <w:t>Summary of Controls</w:t>
      </w:r>
    </w:p>
    <w:tbl>
      <w:tblPr>
        <w:tblStyle w:val="GridTable4-Accent1"/>
        <w:tblW w:w="0" w:type="auto"/>
        <w:tblLook w:val="06A0" w:firstRow="1" w:lastRow="0" w:firstColumn="1" w:lastColumn="0" w:noHBand="1" w:noVBand="1"/>
      </w:tblPr>
      <w:tblGrid>
        <w:gridCol w:w="1652"/>
        <w:gridCol w:w="7698"/>
      </w:tblGrid>
      <w:tr w:rsidR="3D64678B" w14:paraId="2B886AD8"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CD791" w14:textId="689ED6D4" w:rsidR="3D64678B" w:rsidRDefault="3D64678B" w:rsidP="008A6BDD">
            <w:pPr>
              <w:spacing w:before="120" w:after="120" w:line="240" w:lineRule="auto"/>
            </w:pPr>
            <w:r>
              <w:t>Control</w:t>
            </w:r>
          </w:p>
        </w:tc>
        <w:tc>
          <w:tcPr>
            <w:tcW w:w="0" w:type="auto"/>
          </w:tcPr>
          <w:p w14:paraId="5F248CBC" w14:textId="391C8A15" w:rsidR="3D64678B" w:rsidRDefault="0BBD0E17" w:rsidP="008A6BDD">
            <w:pPr>
              <w:spacing w:before="120" w:after="120" w:line="240" w:lineRule="auto"/>
              <w:cnfStyle w:val="100000000000" w:firstRow="1" w:lastRow="0" w:firstColumn="0" w:lastColumn="0" w:oddVBand="0" w:evenVBand="0" w:oddHBand="0" w:evenHBand="0" w:firstRowFirstColumn="0" w:firstRowLastColumn="0" w:lastRowFirstColumn="0" w:lastRowLastColumn="0"/>
            </w:pPr>
            <w:r>
              <w:t>Note</w:t>
            </w:r>
          </w:p>
        </w:tc>
      </w:tr>
      <w:tr w:rsidR="00B43108" w14:paraId="5C6C3A3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8475167" w14:textId="6EEA5D0B" w:rsidR="00B43108" w:rsidRPr="00E439E8" w:rsidRDefault="00B43108" w:rsidP="00E439E8">
            <w:pPr>
              <w:pStyle w:val="Table"/>
              <w:rPr>
                <w:rFonts w:asciiTheme="minorHAnsi" w:hAnsiTheme="minorHAnsi"/>
              </w:rPr>
            </w:pPr>
            <w:r w:rsidRPr="00E439E8">
              <w:rPr>
                <w:rFonts w:asciiTheme="minorHAnsi" w:hAnsiTheme="minorHAnsi"/>
              </w:rPr>
              <w:t>Utility</w:t>
            </w:r>
          </w:p>
        </w:tc>
        <w:tc>
          <w:tcPr>
            <w:tcW w:w="0" w:type="auto"/>
            <w:tcBorders>
              <w:left w:val="single" w:sz="4" w:space="0" w:color="auto"/>
              <w:bottom w:val="single" w:sz="4" w:space="0" w:color="auto"/>
              <w:right w:val="single" w:sz="4" w:space="0" w:color="auto"/>
            </w:tcBorders>
          </w:tcPr>
          <w:p w14:paraId="530AB26F" w14:textId="5DC5849E" w:rsidR="00B43108" w:rsidRDefault="00B43108" w:rsidP="00E439E8">
            <w:pPr>
              <w:pStyle w:val="Table"/>
              <w:cnfStyle w:val="000000000000" w:firstRow="0" w:lastRow="0" w:firstColumn="0" w:lastColumn="0" w:oddVBand="0" w:evenVBand="0" w:oddHBand="0" w:evenHBand="0" w:firstRowFirstColumn="0" w:firstRowLastColumn="0" w:lastRowFirstColumn="0" w:lastRowLastColumn="0"/>
            </w:pPr>
            <w:r>
              <w:t>PG&amp;E, SCE, or SDG&amp;E</w:t>
            </w:r>
          </w:p>
        </w:tc>
      </w:tr>
      <w:tr w:rsidR="00B43108" w14:paraId="6FB2C6DC"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7F83AAE" w14:textId="4AB644AB" w:rsidR="00B43108" w:rsidRPr="00E439E8" w:rsidRDefault="00B43108" w:rsidP="00E439E8">
            <w:pPr>
              <w:pStyle w:val="Table"/>
              <w:rPr>
                <w:rFonts w:asciiTheme="minorHAnsi" w:eastAsia="Segoe UI" w:hAnsiTheme="minorHAnsi" w:cs="Segoe UI"/>
              </w:rPr>
            </w:pPr>
            <w:r w:rsidRPr="00E439E8">
              <w:rPr>
                <w:rFonts w:asciiTheme="minorHAnsi" w:hAnsiTheme="minorHAnsi"/>
              </w:rPr>
              <w:t>Climate Zone</w:t>
            </w:r>
          </w:p>
        </w:tc>
        <w:tc>
          <w:tcPr>
            <w:tcW w:w="0" w:type="auto"/>
            <w:tcBorders>
              <w:left w:val="single" w:sz="4" w:space="0" w:color="auto"/>
              <w:bottom w:val="single" w:sz="4" w:space="0" w:color="auto"/>
              <w:right w:val="single" w:sz="4" w:space="0" w:color="auto"/>
            </w:tcBorders>
          </w:tcPr>
          <w:p w14:paraId="38F02471" w14:textId="4D752B90" w:rsidR="00B43108" w:rsidRPr="008A6BDD"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rPr>
            </w:pPr>
            <w:r w:rsidRPr="598F8665">
              <w:t xml:space="preserve">The </w:t>
            </w:r>
            <w:r>
              <w:t>ACC</w:t>
            </w:r>
            <w:r w:rsidRPr="598F8665">
              <w:t xml:space="preserve"> produces avoided costs that are specific to climate zones.  The climate zones correspond to those used by the California Energy Commissi</w:t>
            </w:r>
            <w:r w:rsidRPr="38632E9D">
              <w:t>on for the Title-24 Building Energy Standards.   Clima</w:t>
            </w:r>
            <w:r w:rsidRPr="2068CF52">
              <w:t>te zone 3 has been divided into 3A (San Francisco and Peninsula) and 3B (</w:t>
            </w:r>
            <w:r w:rsidRPr="15C04941">
              <w:t xml:space="preserve">Oakland and East Bay) because of the large historical difference in distribution capacity costs for those areas within </w:t>
            </w:r>
            <w:r w:rsidRPr="414C67E8">
              <w:t>climate zone 3.</w:t>
            </w:r>
          </w:p>
        </w:tc>
      </w:tr>
      <w:tr w:rsidR="00B43108" w14:paraId="37C8A74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224C577" w14:textId="0C846085" w:rsidR="00B43108" w:rsidRPr="00E439E8" w:rsidRDefault="00B43108" w:rsidP="00E439E8">
            <w:pPr>
              <w:pStyle w:val="Table"/>
              <w:rPr>
                <w:rFonts w:asciiTheme="minorHAnsi" w:hAnsiTheme="minorHAnsi"/>
              </w:rPr>
            </w:pPr>
            <w:r w:rsidRPr="00E439E8">
              <w:rPr>
                <w:rFonts w:asciiTheme="minorHAnsi" w:eastAsia="Segoe UI" w:hAnsiTheme="minorHAnsi" w:cs="Segoe UI"/>
              </w:rPr>
              <w:t>Include Reserve Margin</w:t>
            </w:r>
          </w:p>
        </w:tc>
        <w:tc>
          <w:tcPr>
            <w:tcW w:w="0" w:type="auto"/>
            <w:tcBorders>
              <w:left w:val="single" w:sz="4" w:space="0" w:color="auto"/>
              <w:bottom w:val="single" w:sz="4" w:space="0" w:color="auto"/>
              <w:right w:val="single" w:sz="4" w:space="0" w:color="auto"/>
            </w:tcBorders>
          </w:tcPr>
          <w:p w14:paraId="37B8635D" w14:textId="6F280EB0" w:rsidR="00B43108" w:rsidRDefault="00602B3F" w:rsidP="00E439E8">
            <w:pPr>
              <w:pStyle w:val="Table"/>
              <w:cnfStyle w:val="000000000000" w:firstRow="0" w:lastRow="0" w:firstColumn="0" w:lastColumn="0" w:oddVBand="0" w:evenVBand="0" w:oddHBand="0" w:evenHBand="0" w:firstRowFirstColumn="0" w:firstRowLastColumn="0" w:lastRowFirstColumn="0" w:lastRowLastColumn="0"/>
            </w:pPr>
            <w:r>
              <w:rPr>
                <w:rFonts w:ascii="Segoe UI" w:eastAsia="Segoe UI" w:hAnsi="Segoe UI" w:cs="Segoe UI"/>
              </w:rPr>
              <w:t>(1 or 0</w:t>
            </w:r>
            <w:proofErr w:type="gramStart"/>
            <w:r>
              <w:rPr>
                <w:rFonts w:ascii="Segoe UI" w:eastAsia="Segoe UI" w:hAnsi="Segoe UI" w:cs="Segoe UI"/>
              </w:rPr>
              <w:t xml:space="preserve">)  </w:t>
            </w:r>
            <w:r w:rsidR="00B43108" w:rsidRPr="008A6BDD">
              <w:rPr>
                <w:rFonts w:ascii="Segoe UI" w:eastAsia="Segoe UI" w:hAnsi="Segoe UI" w:cs="Segoe UI"/>
              </w:rPr>
              <w:t>The</w:t>
            </w:r>
            <w:proofErr w:type="gramEnd"/>
            <w:r w:rsidR="00B43108" w:rsidRPr="008A6BDD">
              <w:rPr>
                <w:rFonts w:ascii="Segoe UI" w:eastAsia="Segoe UI" w:hAnsi="Segoe UI" w:cs="Segoe UI"/>
              </w:rPr>
              <w:t xml:space="preserve"> default value of 1 should be used for avoided costs at the customer-level, that is avoided costs for demand-side actions.  For generators that do not reduce customer load, this value should be set to </w:t>
            </w:r>
            <w:r w:rsidR="00B43108" w:rsidRPr="008A6BDD">
              <w:rPr>
                <w:rFonts w:ascii="Segoe UI" w:eastAsia="Segoe UI" w:hAnsi="Segoe UI" w:cs="Segoe UI"/>
              </w:rPr>
              <w:lastRenderedPageBreak/>
              <w:t>zero.  Reductions i</w:t>
            </w:r>
            <w:r w:rsidR="00FC159A">
              <w:rPr>
                <w:rFonts w:ascii="Segoe UI" w:eastAsia="Segoe UI" w:hAnsi="Segoe UI" w:cs="Segoe UI"/>
              </w:rPr>
              <w:t>n</w:t>
            </w:r>
            <w:r w:rsidR="00B43108" w:rsidRPr="008A6BDD">
              <w:rPr>
                <w:rFonts w:ascii="Segoe UI" w:eastAsia="Segoe UI" w:hAnsi="Segoe UI" w:cs="Segoe UI"/>
              </w:rPr>
              <w:t xml:space="preserve"> load produce additional value compared to generation because of the planning reserve margin.  Setting the value to zero removes the extra planning reserve margin generation capacity benefit from the avoided cost stream. </w:t>
            </w:r>
          </w:p>
        </w:tc>
      </w:tr>
      <w:tr w:rsidR="00FC159A" w14:paraId="48B6046F" w14:textId="77777777" w:rsidTr="0066270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3EF96F44" w14:textId="6248F663" w:rsidR="00FC159A" w:rsidRPr="00E439E8" w:rsidRDefault="00FC159A" w:rsidP="00E439E8">
            <w:pPr>
              <w:pStyle w:val="Table"/>
              <w:rPr>
                <w:rFonts w:asciiTheme="minorHAnsi" w:hAnsiTheme="minorHAnsi"/>
              </w:rPr>
            </w:pPr>
            <w:r w:rsidRPr="00E439E8">
              <w:rPr>
                <w:rFonts w:asciiTheme="minorHAnsi" w:eastAsia="Calibri" w:hAnsiTheme="minorHAnsi"/>
              </w:rPr>
              <w:lastRenderedPageBreak/>
              <w:t>Start year</w:t>
            </w:r>
          </w:p>
        </w:tc>
        <w:tc>
          <w:tcPr>
            <w:tcW w:w="0" w:type="auto"/>
            <w:tcBorders>
              <w:left w:val="single" w:sz="4" w:space="0" w:color="auto"/>
              <w:bottom w:val="single" w:sz="4" w:space="0" w:color="auto"/>
              <w:right w:val="single" w:sz="4" w:space="0" w:color="auto"/>
            </w:tcBorders>
          </w:tcPr>
          <w:p w14:paraId="4BA486F2" w14:textId="3FBA78D2"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(2017 – 2047</w:t>
            </w:r>
            <w:proofErr w:type="gramStart"/>
            <w:r>
              <w:rPr>
                <w:rFonts w:eastAsia="Calibri"/>
              </w:rPr>
              <w:t xml:space="preserve">)  </w:t>
            </w:r>
            <w:r w:rsidR="00FC159A" w:rsidRPr="008A6BDD">
              <w:rPr>
                <w:rFonts w:eastAsia="Calibri"/>
              </w:rPr>
              <w:t>This</w:t>
            </w:r>
            <w:proofErr w:type="gramEnd"/>
            <w:r w:rsidR="00FC159A" w:rsidRPr="008A6BDD">
              <w:rPr>
                <w:rFonts w:eastAsia="Calibri"/>
              </w:rPr>
              <w:t xml:space="preserve"> is the first year </w:t>
            </w:r>
            <w:r w:rsidR="00FC159A">
              <w:rPr>
                <w:rFonts w:eastAsia="Calibri"/>
              </w:rPr>
              <w:t>for reported avoided cost results</w:t>
            </w:r>
            <w:r w:rsidR="00FC159A" w:rsidRPr="008A6BDD">
              <w:rPr>
                <w:rFonts w:eastAsia="Calibri"/>
              </w:rPr>
              <w:t xml:space="preserve">. The avoided cost results will be expressed in this year's dollars. If a </w:t>
            </w:r>
            <w:proofErr w:type="spellStart"/>
            <w:r w:rsidR="00FC159A" w:rsidRPr="008A6BDD">
              <w:rPr>
                <w:rFonts w:eastAsia="Calibri"/>
              </w:rPr>
              <w:t>levelization</w:t>
            </w:r>
            <w:proofErr w:type="spellEnd"/>
            <w:r w:rsidR="00FC159A" w:rsidRPr="008A6BDD">
              <w:rPr>
                <w:rFonts w:eastAsia="Calibri"/>
              </w:rPr>
              <w:t xml:space="preserve"> period of one year is used, then the </w:t>
            </w:r>
            <w:proofErr w:type="spellStart"/>
            <w:r w:rsidR="00FC159A" w:rsidRPr="008A6BDD">
              <w:rPr>
                <w:rFonts w:eastAsia="Calibri"/>
              </w:rPr>
              <w:t>levelization</w:t>
            </w:r>
            <w:proofErr w:type="spellEnd"/>
            <w:r w:rsidR="00FC159A" w:rsidRPr="008A6BDD">
              <w:rPr>
                <w:rFonts w:eastAsia="Calibri"/>
              </w:rPr>
              <w:t xml:space="preserve"> results will be the avoided costs for this year only. </w:t>
            </w:r>
            <w:r w:rsidR="00FC159A">
              <w:rPr>
                <w:rFonts w:eastAsia="Calibri"/>
              </w:rPr>
              <w:t xml:space="preserve">  Otherwise, this is the first year of the </w:t>
            </w:r>
            <w:proofErr w:type="spellStart"/>
            <w:r w:rsidR="00FC159A">
              <w:rPr>
                <w:rFonts w:eastAsia="Calibri"/>
              </w:rPr>
              <w:t>levelization</w:t>
            </w:r>
            <w:proofErr w:type="spellEnd"/>
            <w:r w:rsidR="00FC159A">
              <w:rPr>
                <w:rFonts w:eastAsia="Calibri"/>
              </w:rPr>
              <w:t xml:space="preserve"> stream.</w:t>
            </w:r>
          </w:p>
          <w:p w14:paraId="022E63C4" w14:textId="2CB5B7CB" w:rsidR="00602B3F" w:rsidRDefault="00602B3F" w:rsidP="00E439E8">
            <w:pPr>
              <w:pStyle w:val="Table"/>
              <w:cnfStyle w:val="000000000000" w:firstRow="0" w:lastRow="0" w:firstColumn="0" w:lastColumn="0" w:oddVBand="0" w:evenVBand="0" w:oddHBand="0" w:evenHBand="0" w:firstRowFirstColumn="0" w:firstRowLastColumn="0" w:lastRowFirstColumn="0" w:lastRowLastColumn="0"/>
            </w:pPr>
            <w:r>
              <w:t xml:space="preserve">Note that the ACC only contains avoided costs through 2047, so the combination of this entry and the </w:t>
            </w:r>
            <w:proofErr w:type="spellStart"/>
            <w:r>
              <w:t>Levelization</w:t>
            </w:r>
            <w:proofErr w:type="spellEnd"/>
            <w:r>
              <w:t xml:space="preserve"> Period should not exceed 2047.</w:t>
            </w:r>
          </w:p>
        </w:tc>
      </w:tr>
      <w:tr w:rsidR="00FC159A" w14:paraId="027672F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1FBFABA" w14:textId="09F68BD9" w:rsidR="00FC159A" w:rsidRPr="00E439E8" w:rsidRDefault="00FC159A" w:rsidP="00E439E8">
            <w:pPr>
              <w:pStyle w:val="Table"/>
              <w:rPr>
                <w:rFonts w:asciiTheme="minorHAnsi" w:hAnsiTheme="minorHAnsi"/>
              </w:rPr>
            </w:pPr>
            <w:proofErr w:type="spellStart"/>
            <w:r w:rsidRPr="00E439E8">
              <w:rPr>
                <w:rFonts w:asciiTheme="minorHAnsi" w:hAnsiTheme="minorHAnsi"/>
              </w:rPr>
              <w:t>Levelization</w:t>
            </w:r>
            <w:proofErr w:type="spellEnd"/>
            <w:r w:rsidRPr="00E439E8">
              <w:rPr>
                <w:rFonts w:asciiTheme="minorHAnsi" w:hAnsiTheme="minorHAnsi"/>
              </w:rPr>
              <w:t xml:space="preserve"> Period</w:t>
            </w:r>
          </w:p>
        </w:tc>
        <w:tc>
          <w:tcPr>
            <w:tcW w:w="0" w:type="auto"/>
            <w:tcBorders>
              <w:top w:val="single" w:sz="4" w:space="0" w:color="auto"/>
              <w:left w:val="single" w:sz="4" w:space="0" w:color="auto"/>
              <w:right w:val="single" w:sz="4" w:space="0" w:color="auto"/>
            </w:tcBorders>
          </w:tcPr>
          <w:p w14:paraId="67ACC62F" w14:textId="0CB93E92"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(1-30</w:t>
            </w:r>
            <w:proofErr w:type="gramStart"/>
            <w:r>
              <w:t xml:space="preserve">)  </w:t>
            </w:r>
            <w:r w:rsidR="00FC159A">
              <w:t>The</w:t>
            </w:r>
            <w:proofErr w:type="gramEnd"/>
            <w:r w:rsidR="00FC159A">
              <w:t xml:space="preserve"> number of years to include in the </w:t>
            </w:r>
            <w:proofErr w:type="spellStart"/>
            <w:r w:rsidR="00FC159A">
              <w:t>levelization</w:t>
            </w:r>
            <w:proofErr w:type="spellEnd"/>
            <w:r w:rsidR="00FC159A">
              <w:t xml:space="preserve"> period.  The</w:t>
            </w:r>
            <w:r w:rsidR="00FC159A" w:rsidRPr="25ED4B98">
              <w:t xml:space="preserve"> </w:t>
            </w:r>
            <w:proofErr w:type="spellStart"/>
            <w:r w:rsidR="00FC159A" w:rsidRPr="1F1357A1">
              <w:t>levelization</w:t>
            </w:r>
            <w:proofErr w:type="spellEnd"/>
            <w:r w:rsidR="00FC159A" w:rsidRPr="25ED4B98">
              <w:t xml:space="preserve"> </w:t>
            </w:r>
            <w:r w:rsidR="00FC159A" w:rsidRPr="1F1357A1">
              <w:t>uses the real discount rate from the Inputs tab, and therefore is constant in real dollars, not nominal dollars.  To convert the levelized values into annual values in nominal dollars, the levelized results should be escalated by inflation each year.</w:t>
            </w:r>
          </w:p>
        </w:tc>
      </w:tr>
      <w:tr w:rsidR="00FC159A" w14:paraId="63C92343"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7BB5FF9" w14:textId="54A088D4" w:rsidR="00FC159A" w:rsidRPr="00E439E8" w:rsidRDefault="00602B3F" w:rsidP="00E439E8">
            <w:pPr>
              <w:pStyle w:val="Table"/>
              <w:rPr>
                <w:rFonts w:asciiTheme="minorHAnsi" w:hAnsiTheme="minorHAnsi"/>
              </w:rPr>
            </w:pPr>
            <w:r w:rsidRPr="00E439E8">
              <w:rPr>
                <w:rFonts w:asciiTheme="minorHAnsi" w:hAnsiTheme="minorHAnsi"/>
              </w:rPr>
              <w:t>Electricity Components</w:t>
            </w:r>
          </w:p>
        </w:tc>
        <w:tc>
          <w:tcPr>
            <w:tcW w:w="0" w:type="auto"/>
            <w:tcBorders>
              <w:top w:val="single" w:sz="4" w:space="0" w:color="auto"/>
              <w:left w:val="single" w:sz="4" w:space="0" w:color="auto"/>
              <w:bottom w:val="single" w:sz="4" w:space="0" w:color="auto"/>
              <w:right w:val="single" w:sz="4" w:space="0" w:color="auto"/>
            </w:tcBorders>
          </w:tcPr>
          <w:p w14:paraId="26B0829E" w14:textId="142DFDD8"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 xml:space="preserve">(TRUE. </w:t>
            </w:r>
            <w:proofErr w:type="gramStart"/>
            <w:r>
              <w:t>FALSE)  Indicates</w:t>
            </w:r>
            <w:proofErr w:type="gramEnd"/>
            <w:r>
              <w:t xml:space="preserve"> which components to include in the avoided costs displayed in the charts, and represented in the hourly results.  Note that Losses are energy-related losses and are included or excluded based on the selection for Energy.  Capacity-related losses are incorporated into the respective capacity avoided costs, and not reported separately.</w:t>
            </w:r>
          </w:p>
        </w:tc>
      </w:tr>
      <w:tr w:rsidR="00FC159A" w14:paraId="35EFAAC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CD7291" w14:textId="1EB0C40B" w:rsidR="00FC159A" w:rsidRPr="00E439E8" w:rsidRDefault="00602B3F" w:rsidP="00E439E8">
            <w:pPr>
              <w:pStyle w:val="Table"/>
              <w:rPr>
                <w:rFonts w:asciiTheme="minorHAnsi" w:hAnsiTheme="minorHAnsi"/>
              </w:rPr>
            </w:pPr>
            <w:r w:rsidRPr="00E439E8">
              <w:rPr>
                <w:rFonts w:asciiTheme="minorHAnsi" w:hAnsiTheme="minorHAnsi"/>
              </w:rPr>
              <w:t xml:space="preserve">Three-day </w:t>
            </w:r>
            <w:proofErr w:type="spellStart"/>
            <w:r w:rsidRPr="00E439E8">
              <w:rPr>
                <w:rFonts w:asciiTheme="minorHAnsi" w:hAnsiTheme="minorHAnsi"/>
              </w:rPr>
              <w:t>shapshot</w:t>
            </w:r>
            <w:proofErr w:type="spellEnd"/>
            <w:r w:rsidRPr="00E439E8">
              <w:rPr>
                <w:rFonts w:asciiTheme="minorHAnsi" w:hAnsiTheme="minorHAnsi"/>
              </w:rPr>
              <w:t xml:space="preserve"> Month</w:t>
            </w:r>
          </w:p>
        </w:tc>
        <w:tc>
          <w:tcPr>
            <w:tcW w:w="0" w:type="auto"/>
            <w:tcBorders>
              <w:top w:val="single" w:sz="4" w:space="0" w:color="auto"/>
              <w:left w:val="single" w:sz="4" w:space="0" w:color="auto"/>
              <w:bottom w:val="single" w:sz="4" w:space="0" w:color="auto"/>
              <w:right w:val="single" w:sz="4" w:space="0" w:color="auto"/>
            </w:tcBorders>
          </w:tcPr>
          <w:p w14:paraId="2FB10A94" w14:textId="136C9690" w:rsidR="00FC159A" w:rsidRDefault="00602B3F" w:rsidP="00E439E8">
            <w:pPr>
              <w:pStyle w:val="Table"/>
              <w:cnfStyle w:val="000000000000" w:firstRow="0" w:lastRow="0" w:firstColumn="0" w:lastColumn="0" w:oddVBand="0" w:evenVBand="0" w:oddHBand="0" w:evenHBand="0" w:firstRowFirstColumn="0" w:firstRowLastColumn="0" w:lastRowFirstColumn="0" w:lastRowLastColumn="0"/>
            </w:pPr>
            <w:r>
              <w:t>(1-12</w:t>
            </w:r>
            <w:proofErr w:type="gramStart"/>
            <w:r>
              <w:t>)  The</w:t>
            </w:r>
            <w:proofErr w:type="gramEnd"/>
            <w:r>
              <w:t xml:space="preserve"> Dashboard can graph the component avoided costs for any continuous three-day period.  This is the month for the first day in that period.</w:t>
            </w:r>
          </w:p>
        </w:tc>
      </w:tr>
      <w:tr w:rsidR="00602B3F" w14:paraId="55D59C72"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589181" w14:textId="38D0D4DF" w:rsidR="00602B3F" w:rsidRPr="00E439E8" w:rsidRDefault="00602B3F" w:rsidP="00E439E8">
            <w:pPr>
              <w:pStyle w:val="Table"/>
              <w:rPr>
                <w:rFonts w:asciiTheme="minorHAnsi" w:hAnsiTheme="minorHAnsi"/>
              </w:rPr>
            </w:pPr>
            <w:r w:rsidRPr="00E439E8">
              <w:rPr>
                <w:rFonts w:asciiTheme="minorHAnsi" w:hAnsiTheme="minorHAnsi"/>
              </w:rPr>
              <w:t>Starting Day</w:t>
            </w:r>
          </w:p>
        </w:tc>
        <w:tc>
          <w:tcPr>
            <w:tcW w:w="0" w:type="auto"/>
            <w:tcBorders>
              <w:top w:val="single" w:sz="4" w:space="0" w:color="auto"/>
              <w:left w:val="single" w:sz="4" w:space="0" w:color="auto"/>
              <w:bottom w:val="single" w:sz="4" w:space="0" w:color="auto"/>
              <w:right w:val="single" w:sz="4" w:space="0" w:color="auto"/>
            </w:tcBorders>
          </w:tcPr>
          <w:p w14:paraId="2BD2ECDD" w14:textId="75721288" w:rsidR="00602B3F" w:rsidRDefault="00602B3F" w:rsidP="00E439E8">
            <w:pPr>
              <w:pStyle w:val="Table"/>
              <w:cnfStyle w:val="000000000000" w:firstRow="0" w:lastRow="0" w:firstColumn="0" w:lastColumn="0" w:oddVBand="0" w:evenVBand="0" w:oddHBand="0" w:evenHBand="0" w:firstRowFirstColumn="0" w:firstRowLastColumn="0" w:lastRowFirstColumn="0" w:lastRowLastColumn="0"/>
            </w:pPr>
            <w:r>
              <w:t>(1-31).  This is the day of the month for the start of the three-day period.</w:t>
            </w:r>
          </w:p>
        </w:tc>
      </w:tr>
    </w:tbl>
    <w:p w14:paraId="74CD05D6" w14:textId="5B476B25" w:rsidR="5EA42FD1" w:rsidRDefault="5EA42FD1"/>
    <w:p w14:paraId="38B09CCD" w14:textId="77777777" w:rsidR="00602B3F" w:rsidRDefault="00602B3F" w:rsidP="00602B3F">
      <w:pPr>
        <w:pStyle w:val="Heading2"/>
      </w:pPr>
      <w:bookmarkStart w:id="76" w:name="_Toc493516887"/>
      <w:r>
        <w:t>Exporting Hourly Results</w:t>
      </w:r>
      <w:bookmarkEnd w:id="76"/>
    </w:p>
    <w:p w14:paraId="6F185A5D" w14:textId="28327133" w:rsidR="00602B3F" w:rsidRDefault="00602B3F" w:rsidP="00602B3F">
      <w:pPr>
        <w:pStyle w:val="BodyText"/>
      </w:pPr>
      <w:r>
        <w:t xml:space="preserve">In addition to the levelized or single year results discussed above, the Avoided Cost Calculator can produce hourly avoided costs for 2017 through 2047.  Because the amount of data associated with 31 years of hourly avoided costs, these results are output to separate Excel files, rather than added to the model itself.  In addition, the results are written to the output </w:t>
      </w:r>
      <w:r>
        <w:lastRenderedPageBreak/>
        <w:t>files as the total avoided cost by year and hour, but not by avoided cost component</w:t>
      </w:r>
      <w:r>
        <w:rPr>
          <w:rStyle w:val="FootnoteReference"/>
        </w:rPr>
        <w:footnoteReference w:id="17"/>
      </w:r>
      <w:r>
        <w:t>.  All results are reported in $/MWh at the secondary voltage level.</w:t>
      </w:r>
    </w:p>
    <w:p w14:paraId="6A7C323F" w14:textId="0BC7125E" w:rsidR="00602B3F" w:rsidRDefault="00602B3F" w:rsidP="00602B3F">
      <w:pPr>
        <w:pStyle w:val="BodyText"/>
      </w:pPr>
      <w:r>
        <w:t>The output files are written to a subfolder in the same directory as the Avoided Cost Model.  The subfolder is named according the date the macro is run.</w:t>
      </w:r>
    </w:p>
    <w:p w14:paraId="39A0898E" w14:textId="77777777" w:rsidR="00602B3F" w:rsidRDefault="00602B3F" w:rsidP="00602B3F">
      <w:pPr>
        <w:pStyle w:val="BodyText"/>
      </w:pPr>
      <w:r>
        <w:t>There are three macros included in the Avoided Cost Calculator.  The buttons for each macro are located below Cell F20 on the Dashboard tab.   Each macro is described below.</w:t>
      </w:r>
    </w:p>
    <w:tbl>
      <w:tblPr>
        <w:tblStyle w:val="E3TableforRealThisTime"/>
        <w:tblW w:w="0" w:type="auto"/>
        <w:tblLook w:val="04A0" w:firstRow="1" w:lastRow="0" w:firstColumn="1" w:lastColumn="0" w:noHBand="0" w:noVBand="1"/>
      </w:tblPr>
      <w:tblGrid>
        <w:gridCol w:w="3595"/>
        <w:gridCol w:w="3595"/>
      </w:tblGrid>
      <w:tr w:rsidR="00602B3F" w14:paraId="53ADEB9A" w14:textId="77777777" w:rsidTr="00662708">
        <w:trPr>
          <w:cnfStyle w:val="100000000000" w:firstRow="1" w:lastRow="0" w:firstColumn="0" w:lastColumn="0" w:oddVBand="0" w:evenVBand="0" w:oddHBand="0" w:evenHBand="0" w:firstRowFirstColumn="0" w:firstRowLastColumn="0" w:lastRowFirstColumn="0" w:lastRowLastColumn="0"/>
        </w:trPr>
        <w:tc>
          <w:tcPr>
            <w:tcW w:w="3595" w:type="dxa"/>
          </w:tcPr>
          <w:p w14:paraId="5EC9F14A" w14:textId="77777777" w:rsidR="00602B3F" w:rsidRDefault="00602B3F" w:rsidP="00662708">
            <w:pPr>
              <w:pStyle w:val="E3Table"/>
            </w:pPr>
            <w:r>
              <w:t>Macro</w:t>
            </w:r>
          </w:p>
        </w:tc>
        <w:tc>
          <w:tcPr>
            <w:tcW w:w="3595" w:type="dxa"/>
          </w:tcPr>
          <w:p w14:paraId="043A8285" w14:textId="77777777" w:rsidR="00602B3F" w:rsidRDefault="00602B3F" w:rsidP="00662708">
            <w:pPr>
              <w:pStyle w:val="E3Table"/>
            </w:pPr>
            <w:r>
              <w:t>Comment</w:t>
            </w:r>
          </w:p>
        </w:tc>
      </w:tr>
      <w:tr w:rsidR="00602B3F" w14:paraId="3080395A" w14:textId="77777777" w:rsidTr="00662708">
        <w:trPr>
          <w:cnfStyle w:val="000000100000" w:firstRow="0" w:lastRow="0" w:firstColumn="0" w:lastColumn="0" w:oddVBand="0" w:evenVBand="0" w:oddHBand="1" w:evenHBand="0" w:firstRowFirstColumn="0" w:firstRowLastColumn="0" w:lastRowFirstColumn="0" w:lastRowLastColumn="0"/>
        </w:trPr>
        <w:tc>
          <w:tcPr>
            <w:tcW w:w="3595" w:type="dxa"/>
          </w:tcPr>
          <w:p w14:paraId="52345121" w14:textId="77777777" w:rsidR="00602B3F" w:rsidRDefault="00602B3F" w:rsidP="00662708">
            <w:pPr>
              <w:pStyle w:val="E3Table"/>
            </w:pPr>
            <w:r>
              <w:t>Export Annual Avoided Costs – All CZ</w:t>
            </w:r>
          </w:p>
        </w:tc>
        <w:tc>
          <w:tcPr>
            <w:tcW w:w="3595" w:type="dxa"/>
          </w:tcPr>
          <w:p w14:paraId="3C194531" w14:textId="77777777" w:rsidR="00602B3F" w:rsidRDefault="00602B3F" w:rsidP="00662708">
            <w:pPr>
              <w:pStyle w:val="E3Table"/>
            </w:pPr>
            <w:r>
              <w:t xml:space="preserve">Using the user-selected utility, the macro will iterate through each climate zone that applies to the utility.  The macro will write the total hourly avoided costs for the components indicated by the </w:t>
            </w:r>
            <w:r w:rsidRPr="00754D74">
              <w:rPr>
                <w:i/>
              </w:rPr>
              <w:t xml:space="preserve">Electricity Component </w:t>
            </w:r>
            <w:r>
              <w:t xml:space="preserve">inputs, and will include or exclude the planning reserve margin benefit base on the user input for </w:t>
            </w:r>
            <w:proofErr w:type="spellStart"/>
            <w:r w:rsidRPr="00754D74">
              <w:rPr>
                <w:i/>
              </w:rPr>
              <w:t>Incl</w:t>
            </w:r>
            <w:proofErr w:type="spellEnd"/>
            <w:r w:rsidRPr="00754D74">
              <w:rPr>
                <w:i/>
              </w:rPr>
              <w:t xml:space="preserve"> Reserve Margin</w:t>
            </w:r>
            <w:r>
              <w:t xml:space="preserve">.  Note that because the macro is outputting results by year for all years, instead of levelized results, the </w:t>
            </w:r>
            <w:proofErr w:type="spellStart"/>
            <w:r>
              <w:t>Levelization</w:t>
            </w:r>
            <w:proofErr w:type="spellEnd"/>
            <w:r>
              <w:t xml:space="preserve"> Period and the Start year are ignored.</w:t>
            </w:r>
          </w:p>
        </w:tc>
      </w:tr>
      <w:tr w:rsidR="00602B3F" w14:paraId="00F3CFAA" w14:textId="77777777" w:rsidTr="00662708">
        <w:tc>
          <w:tcPr>
            <w:tcW w:w="3595" w:type="dxa"/>
          </w:tcPr>
          <w:p w14:paraId="4224EF49" w14:textId="77777777" w:rsidR="00602B3F" w:rsidRDefault="00602B3F" w:rsidP="00662708">
            <w:pPr>
              <w:pStyle w:val="E3Table"/>
            </w:pPr>
            <w:r>
              <w:t>Export Annual Avoided Costs – One CZ</w:t>
            </w:r>
          </w:p>
        </w:tc>
        <w:tc>
          <w:tcPr>
            <w:tcW w:w="3595" w:type="dxa"/>
          </w:tcPr>
          <w:p w14:paraId="1DFCA933" w14:textId="77777777" w:rsidR="00602B3F" w:rsidRDefault="00602B3F" w:rsidP="00662708">
            <w:pPr>
              <w:pStyle w:val="E3Table"/>
            </w:pPr>
            <w:r>
              <w:t>Same functionality as the macro above, but only outputs results for the user selected Climate Zone.</w:t>
            </w:r>
          </w:p>
        </w:tc>
      </w:tr>
      <w:tr w:rsidR="00602B3F" w14:paraId="4FA5C29C" w14:textId="77777777" w:rsidTr="00662708">
        <w:trPr>
          <w:cnfStyle w:val="000000100000" w:firstRow="0" w:lastRow="0" w:firstColumn="0" w:lastColumn="0" w:oddVBand="0" w:evenVBand="0" w:oddHBand="1" w:evenHBand="0" w:firstRowFirstColumn="0" w:firstRowLastColumn="0" w:lastRowFirstColumn="0" w:lastRowLastColumn="0"/>
        </w:trPr>
        <w:tc>
          <w:tcPr>
            <w:tcW w:w="3595" w:type="dxa"/>
          </w:tcPr>
          <w:p w14:paraId="247260D6" w14:textId="77777777" w:rsidR="00602B3F" w:rsidRDefault="00602B3F" w:rsidP="00662708">
            <w:pPr>
              <w:pStyle w:val="E3Table"/>
            </w:pPr>
            <w:r>
              <w:t xml:space="preserve">Export Gen &amp; </w:t>
            </w:r>
            <w:proofErr w:type="spellStart"/>
            <w:r>
              <w:t>Env</w:t>
            </w:r>
            <w:proofErr w:type="spellEnd"/>
            <w:r>
              <w:t xml:space="preserve"> for EE</w:t>
            </w:r>
          </w:p>
        </w:tc>
        <w:tc>
          <w:tcPr>
            <w:tcW w:w="3595" w:type="dxa"/>
          </w:tcPr>
          <w:p w14:paraId="52F9AE6F" w14:textId="77777777" w:rsidR="00602B3F" w:rsidRDefault="00602B3F" w:rsidP="00662708">
            <w:pPr>
              <w:pStyle w:val="E3Table"/>
            </w:pPr>
            <w:r>
              <w:t>This is a specialized macro used to create output files used for the E3 Calculator and CET.  It overrides the user selections to generate the needed transfer file for the selected utility. This should not be used by the general user of the model.</w:t>
            </w:r>
          </w:p>
        </w:tc>
      </w:tr>
    </w:tbl>
    <w:p w14:paraId="62241D1F" w14:textId="77777777" w:rsidR="00602B3F" w:rsidRDefault="00602B3F" w:rsidP="00602B3F">
      <w:pPr>
        <w:pStyle w:val="Heading2"/>
      </w:pPr>
    </w:p>
    <w:p w14:paraId="2527BA95" w14:textId="0E80114B" w:rsidR="00602B3F" w:rsidRDefault="00602B3F" w:rsidP="00602B3F">
      <w:pPr>
        <w:pStyle w:val="Heading2"/>
      </w:pPr>
      <w:bookmarkStart w:id="77" w:name="_Toc493516888"/>
      <w:r>
        <w:t>DR Reporting and PLS Tool Interface</w:t>
      </w:r>
      <w:bookmarkEnd w:id="77"/>
    </w:p>
    <w:p w14:paraId="002DACCA" w14:textId="77777777" w:rsidR="00602B3F" w:rsidRDefault="00602B3F" w:rsidP="00602B3F">
      <w:pPr>
        <w:pStyle w:val="BodyText"/>
      </w:pPr>
      <w:r>
        <w:t xml:space="preserve">Finally, the model aggregates specific outputs for input into the DR Reporting </w:t>
      </w:r>
      <w:proofErr w:type="spellStart"/>
      <w:r>
        <w:t>Tempate</w:t>
      </w:r>
      <w:proofErr w:type="spellEnd"/>
      <w:r>
        <w:t xml:space="preserve"> which is used to determine the cost-effectiveness of demand response.</w:t>
      </w:r>
    </w:p>
    <w:p w14:paraId="734A7FDF" w14:textId="77777777" w:rsidR="00602B3F" w:rsidRDefault="00602B3F" w:rsidP="00602B3F">
      <w:pPr>
        <w:pStyle w:val="BodyText"/>
      </w:pPr>
      <w:r>
        <w:t xml:space="preserve">The </w:t>
      </w:r>
      <w:r w:rsidRPr="00C12DE0">
        <w:rPr>
          <w:i/>
        </w:rPr>
        <w:t>DR Outputs</w:t>
      </w:r>
      <w:r>
        <w:t xml:space="preserve"> tab is an exact replica of the Inputs tab in the DR Reporting Template. Thus, the tab can be directly copy/pasted into the DR Reporting Template. A screenshot of this tab is shown below.</w:t>
      </w:r>
    </w:p>
    <w:p w14:paraId="0C187A96" w14:textId="7461CE35" w:rsidR="00602B3F" w:rsidRDefault="00602B3F" w:rsidP="00602B3F">
      <w:pPr>
        <w:pStyle w:val="E3Caption"/>
      </w:pPr>
      <w:r>
        <w:t xml:space="preserve">Figure </w:t>
      </w:r>
      <w:fldSimple w:instr=" SEQ Figure \* ARABIC ">
        <w:r w:rsidR="001068CE">
          <w:rPr>
            <w:noProof/>
          </w:rPr>
          <w:t>20</w:t>
        </w:r>
      </w:fldSimple>
      <w:r>
        <w:t>: DR Outputs Tab in Avoided Cost Calculator</w:t>
      </w:r>
    </w:p>
    <w:p w14:paraId="22239600" w14:textId="1E137413" w:rsidR="00602B3F" w:rsidRDefault="00602B3F" w:rsidP="00602B3F">
      <w:pPr>
        <w:pStyle w:val="BodyText"/>
      </w:pPr>
      <w:r w:rsidRPr="00D52046">
        <w:rPr>
          <w:noProof/>
        </w:rPr>
        <w:drawing>
          <wp:inline distT="0" distB="0" distL="0" distR="0" wp14:anchorId="5F6EB23F" wp14:editId="6601B0CA">
            <wp:extent cx="5794983" cy="2402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814883" cy="2411210"/>
                    </a:xfrm>
                    <a:prstGeom prst="rect">
                      <a:avLst/>
                    </a:prstGeom>
                    <a:noFill/>
                    <a:ln>
                      <a:noFill/>
                    </a:ln>
                  </pic:spPr>
                </pic:pic>
              </a:graphicData>
            </a:graphic>
          </wp:inline>
        </w:drawing>
      </w:r>
    </w:p>
    <w:p w14:paraId="4A3E38BE" w14:textId="77777777" w:rsidR="00602B3F" w:rsidRDefault="00602B3F" w:rsidP="00602B3F">
      <w:pPr>
        <w:pStyle w:val="BodyText"/>
      </w:pPr>
      <w:r>
        <w:t xml:space="preserve">Additionally, the </w:t>
      </w:r>
      <w:r w:rsidRPr="00C12DE0">
        <w:rPr>
          <w:i/>
        </w:rPr>
        <w:t>PLS Outputs</w:t>
      </w:r>
      <w:r>
        <w:t xml:space="preserve"> tab organizes outputs of the Avoided Cost Calculator that can be copy/pasted as inputs into the </w:t>
      </w:r>
      <w:r w:rsidRPr="00C12DE0">
        <w:rPr>
          <w:i/>
        </w:rPr>
        <w:t>PLS Inputs</w:t>
      </w:r>
      <w:r>
        <w:t xml:space="preserve"> tab of the DR Reporting Template. A screenshot of this tab is shown below.</w:t>
      </w:r>
    </w:p>
    <w:p w14:paraId="5013BA72" w14:textId="5B064A6A" w:rsidR="00602B3F" w:rsidRDefault="00602B3F" w:rsidP="00602B3F">
      <w:pPr>
        <w:pStyle w:val="E3Caption"/>
      </w:pPr>
      <w:r>
        <w:lastRenderedPageBreak/>
        <w:t xml:space="preserve">Figure </w:t>
      </w:r>
      <w:fldSimple w:instr=" SEQ Figure \* ARABIC ">
        <w:r w:rsidR="001068CE">
          <w:rPr>
            <w:noProof/>
          </w:rPr>
          <w:t>21</w:t>
        </w:r>
      </w:fldSimple>
      <w:r>
        <w:t>: PLS Outputs tab in Avoided Cost Calculator</w:t>
      </w:r>
    </w:p>
    <w:p w14:paraId="1FE4970F" w14:textId="4D83E48A" w:rsidR="00602B3F" w:rsidRDefault="00602B3F" w:rsidP="00602B3F">
      <w:pPr>
        <w:pStyle w:val="BodyText"/>
      </w:pPr>
      <w:r w:rsidRPr="00D52046">
        <w:rPr>
          <w:noProof/>
        </w:rPr>
        <w:drawing>
          <wp:inline distT="0" distB="0" distL="0" distR="0" wp14:anchorId="34B902E3" wp14:editId="40A19272">
            <wp:extent cx="5879805" cy="31257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898817" cy="3135861"/>
                    </a:xfrm>
                    <a:prstGeom prst="rect">
                      <a:avLst/>
                    </a:prstGeom>
                    <a:noFill/>
                    <a:ln>
                      <a:noFill/>
                    </a:ln>
                  </pic:spPr>
                </pic:pic>
              </a:graphicData>
            </a:graphic>
          </wp:inline>
        </w:drawing>
      </w:r>
    </w:p>
    <w:p w14:paraId="1BC30051" w14:textId="77777777" w:rsidR="00F32DFA" w:rsidRPr="00012FE3" w:rsidRDefault="00F32DFA" w:rsidP="00142308"/>
    <w:p w14:paraId="79FD7BF9" w14:textId="00FF6AD8" w:rsidR="269F9AF4" w:rsidRDefault="269F9AF4" w:rsidP="008A6BDD">
      <w:pPr>
        <w:pStyle w:val="Heading2"/>
      </w:pPr>
      <w:bookmarkStart w:id="78" w:name="_Toc493516889"/>
      <w:r>
        <w:t>Inputs</w:t>
      </w:r>
      <w:bookmarkEnd w:id="78"/>
    </w:p>
    <w:p w14:paraId="49567643" w14:textId="218791B4" w:rsidR="269F9AF4" w:rsidRDefault="269F9AF4">
      <w:r>
        <w:t>The</w:t>
      </w:r>
      <w:r w:rsidR="0078015E">
        <w:t xml:space="preserve"> data</w:t>
      </w:r>
      <w:r>
        <w:t xml:space="preserve"> inputs for the </w:t>
      </w:r>
      <w:r w:rsidR="0078015E">
        <w:t xml:space="preserve">model are on two tabs.  The Hourly Data tab contains the hourly inputs for the model such as energy price shapes and capacity allocation factors.  The Inputs tab contains the other inputs for the </w:t>
      </w:r>
      <w:r w:rsidR="00B43108">
        <w:t>ACC</w:t>
      </w:r>
      <w:r w:rsidR="0078015E">
        <w:t>, including natural gas costs, CO2 costs per ton, CT and CCGT plant costs, and T&amp;D capacity costs.</w:t>
      </w:r>
    </w:p>
    <w:p w14:paraId="197DCD1B" w14:textId="13602747" w:rsidR="0078015E" w:rsidRDefault="0078015E">
      <w:r w:rsidRPr="0C0E0D43">
        <w:t xml:space="preserve">If the user alters an </w:t>
      </w:r>
      <w:r w:rsidRPr="008A6BDD">
        <w:t>input</w:t>
      </w:r>
      <w:r w:rsidRPr="0C0E0D43">
        <w:t xml:space="preserve"> that affects energy or capacity, the calibration macro will need to be re-run.  This can be done by pressing the “Calibrate Energy and Capacity Costs” button on either the Inputs or Market Dynamics tab.</w:t>
      </w:r>
      <w:r w:rsidR="0C0E0D43" w:rsidRPr="0C0E0D43">
        <w:t xml:space="preserve"> </w:t>
      </w:r>
      <w:r w:rsidRPr="0C0E0D43">
        <w:t xml:space="preserve"> Note that the calibration process can be time consuming and takes about 10 minutes on a corei7 desktop PC.</w:t>
      </w:r>
    </w:p>
    <w:p w14:paraId="3715FE67" w14:textId="3E382343" w:rsidR="0078015E" w:rsidRDefault="0078015E" w:rsidP="008A6BDD">
      <w:pPr>
        <w:pStyle w:val="Heading2"/>
      </w:pPr>
      <w:bookmarkStart w:id="79" w:name="_Toc493516890"/>
      <w:r>
        <w:lastRenderedPageBreak/>
        <w:t>Remaining tabs</w:t>
      </w:r>
      <w:bookmarkEnd w:id="79"/>
    </w:p>
    <w:p w14:paraId="79E2BFB6" w14:textId="42528247" w:rsidR="48773D83" w:rsidRDefault="0078015E">
      <w:r>
        <w:t xml:space="preserve">The remainder of the </w:t>
      </w:r>
      <w:r w:rsidR="00B43108">
        <w:t>ACC</w:t>
      </w:r>
      <w:r>
        <w:t xml:space="preserve"> tabs are calculation tabs, or ass</w:t>
      </w:r>
      <w:r w:rsidR="0C0E0D43">
        <w:t>ocia</w:t>
      </w:r>
      <w:r>
        <w:t xml:space="preserve">te with model control or tracking.  These tabs are described briefly on the Cover tab for the </w:t>
      </w:r>
      <w:r w:rsidR="00B43108">
        <w:t>ACC</w:t>
      </w:r>
      <w:r>
        <w:t>.</w:t>
      </w:r>
    </w:p>
    <w:p w14:paraId="1F3F25F9" w14:textId="77777777" w:rsidR="0078015E" w:rsidRDefault="0078015E" w:rsidP="0078015E">
      <w:pPr>
        <w:pStyle w:val="Heading1"/>
        <w:sectPr w:rsidR="0078015E" w:rsidSect="00EC1B91">
          <w:footerReference w:type="even" r:id="rId89"/>
          <w:footerReference w:type="default" r:id="rId90"/>
          <w:pgSz w:w="12240" w:h="15840"/>
          <w:pgMar w:top="1440" w:right="1440" w:bottom="1440" w:left="1440" w:header="720" w:footer="720" w:gutter="0"/>
          <w:cols w:space="720"/>
          <w:titlePg/>
          <w:docGrid w:linePitch="360"/>
        </w:sectPr>
      </w:pPr>
    </w:p>
    <w:p w14:paraId="255442A6" w14:textId="686C567F" w:rsidR="5EBC713F" w:rsidRDefault="5EBC713F" w:rsidP="008A6BDD">
      <w:pPr>
        <w:pStyle w:val="Heading1"/>
      </w:pPr>
      <w:bookmarkStart w:id="80" w:name="_Toc493516891"/>
      <w:r w:rsidRPr="48773D83">
        <w:lastRenderedPageBreak/>
        <w:t>Version Change S</w:t>
      </w:r>
      <w:r w:rsidR="48773D83" w:rsidRPr="48773D83">
        <w:t>ummary</w:t>
      </w:r>
      <w:bookmarkEnd w:id="80"/>
    </w:p>
    <w:p w14:paraId="12ECD733" w14:textId="65EAE0DC" w:rsidR="58A26562" w:rsidRDefault="58A26562">
      <w:r w:rsidRPr="58A26562">
        <w:t xml:space="preserve">Avoided Cost Model Version </w:t>
      </w:r>
    </w:p>
    <w:p w14:paraId="52507E91" w14:textId="3A81C67F" w:rsidR="58A26562" w:rsidRDefault="684E8241">
      <w:r w:rsidRPr="684E8241">
        <w:t>Rev</w:t>
      </w:r>
      <w:r w:rsidR="07A19A9E" w:rsidRPr="684E8241">
        <w:t xml:space="preserve">ision Date: </w:t>
      </w:r>
      <w:r w:rsidRPr="684E8241">
        <w:t>5/</w:t>
      </w:r>
      <w:r w:rsidR="07A19A9E" w:rsidRPr="684E8241">
        <w:t>31/2016</w:t>
      </w:r>
    </w:p>
    <w:p w14:paraId="1B7D08F2" w14:textId="057FA2DC" w:rsidR="07A19A9E" w:rsidRDefault="486F82CE">
      <w:pPr>
        <w:pStyle w:val="ListParagraph"/>
        <w:numPr>
          <w:ilvl w:val="0"/>
          <w:numId w:val="1"/>
        </w:numPr>
        <w:rPr>
          <w:rFonts w:eastAsia="Calibri"/>
        </w:rPr>
      </w:pPr>
      <w:r w:rsidRPr="008A6BDD">
        <w:rPr>
          <w:b/>
          <w:bCs/>
        </w:rPr>
        <w:t>Methodology corrections</w:t>
      </w:r>
      <w:r w:rsidR="62A95F32" w:rsidRPr="008A6BDD">
        <w:rPr>
          <w:b/>
          <w:bCs/>
        </w:rPr>
        <w:t xml:space="preserve"> and enha</w:t>
      </w:r>
      <w:r w:rsidR="2B260064" w:rsidRPr="008A6BDD">
        <w:rPr>
          <w:b/>
          <w:bCs/>
        </w:rPr>
        <w:t>n</w:t>
      </w:r>
      <w:r w:rsidR="62A95F32" w:rsidRPr="008A6BDD">
        <w:rPr>
          <w:b/>
          <w:bCs/>
        </w:rPr>
        <w:t>cements</w:t>
      </w:r>
    </w:p>
    <w:p w14:paraId="7E993D6D" w14:textId="5839F20E" w:rsidR="758DF0B9" w:rsidRDefault="758DF0B9">
      <w:pPr>
        <w:pStyle w:val="ListParagraph"/>
        <w:numPr>
          <w:ilvl w:val="1"/>
          <w:numId w:val="1"/>
        </w:numPr>
        <w:rPr>
          <w:rFonts w:eastAsia="Calibri"/>
          <w:color w:val="000000" w:themeColor="text1"/>
        </w:rPr>
      </w:pPr>
      <w:r>
        <w:t xml:space="preserve">Update T&amp;D allocation factors to reflect </w:t>
      </w:r>
      <w:r w:rsidR="60961552">
        <w:t>recent IOU distribution loading patterns and simulate increased PV impa</w:t>
      </w:r>
      <w:r w:rsidR="2E87AA4B">
        <w:t>cts on net distribution loads</w:t>
      </w:r>
    </w:p>
    <w:p w14:paraId="3067E7C5" w14:textId="569FAE73" w:rsidR="3F3D5780" w:rsidRDefault="2E87AA4B" w:rsidP="3095E0BA">
      <w:pPr>
        <w:pStyle w:val="ListParagraph"/>
        <w:numPr>
          <w:ilvl w:val="1"/>
          <w:numId w:val="1"/>
        </w:numPr>
        <w:rPr>
          <w:rFonts w:eastAsia="Calibri"/>
        </w:rPr>
      </w:pPr>
      <w:r w:rsidRPr="3F3D5780">
        <w:t>Replace 250 peak hour method for genera</w:t>
      </w:r>
      <w:r w:rsidR="25925690" w:rsidRPr="3F3D5780">
        <w:t>ti</w:t>
      </w:r>
      <w:r w:rsidRPr="3F3D5780">
        <w:t>on capacity all</w:t>
      </w:r>
      <w:r w:rsidR="14BCF539" w:rsidRPr="3F3D5780">
        <w:t xml:space="preserve">ocation </w:t>
      </w:r>
      <w:r w:rsidR="3F3D5780" w:rsidRPr="3F3D5780">
        <w:t>with unserved energy probabilities based on E3 RECAP model</w:t>
      </w:r>
      <w:r w:rsidRPr="008A6BDD">
        <w:rPr>
          <w:rStyle w:val="FootnoteReference"/>
        </w:rPr>
        <w:footnoteReference w:id="18"/>
      </w:r>
      <w:r w:rsidR="3F3D5780" w:rsidRPr="25ED4B98">
        <w:t>.</w:t>
      </w:r>
    </w:p>
    <w:p w14:paraId="504BC477" w14:textId="01B28823" w:rsidR="0C1D08FB" w:rsidRPr="00051934" w:rsidRDefault="0C1D08FB" w:rsidP="3095E0BA">
      <w:pPr>
        <w:numPr>
          <w:ilvl w:val="1"/>
          <w:numId w:val="1"/>
        </w:numPr>
        <w:rPr>
          <w:rFonts w:eastAsia="Calibri"/>
        </w:rPr>
      </w:pPr>
      <w:r w:rsidRPr="00051934">
        <w:t xml:space="preserve">Replace use of private long-run gas forecasts (as no longer procured by the CPUC) with </w:t>
      </w:r>
      <w:r w:rsidR="008A6BDD" w:rsidRPr="00051934">
        <w:t>IEPR and EIA escalation rate.</w:t>
      </w:r>
    </w:p>
    <w:p w14:paraId="13409074" w14:textId="2554BD9F" w:rsidR="1B540A3B" w:rsidRDefault="1B540A3B" w:rsidP="3095E0BA">
      <w:pPr>
        <w:pStyle w:val="ListParagraph"/>
        <w:numPr>
          <w:ilvl w:val="1"/>
          <w:numId w:val="1"/>
        </w:numPr>
        <w:rPr>
          <w:rFonts w:eastAsia="Calibri"/>
        </w:rPr>
      </w:pPr>
      <w:r>
        <w:t>Replace 2010 MRTU hourly energy price shapes with 2015 data and update the hourly price shapes to reflect changes in market prices expected to occur due to increased renewable generation as California continues to move toward the 50% RPS goal.</w:t>
      </w:r>
    </w:p>
    <w:p w14:paraId="010C2065" w14:textId="326BD9EA" w:rsidR="23BBA6DA" w:rsidRDefault="23BBA6DA" w:rsidP="3095E0BA">
      <w:pPr>
        <w:numPr>
          <w:ilvl w:val="1"/>
          <w:numId w:val="1"/>
        </w:numPr>
        <w:rPr>
          <w:rFonts w:eastAsia="Calibri"/>
        </w:rPr>
      </w:pPr>
      <w:r w:rsidRPr="23BBA6DA">
        <w:t>Include the carbon price and variable O&amp;M in the dispatch logic for calculating the residual net cost of generation capacity.</w:t>
      </w:r>
    </w:p>
    <w:p w14:paraId="7BEBF5D1" w14:textId="2EE3809B" w:rsidR="2DCCF5AD" w:rsidRDefault="2DCCF5AD" w:rsidP="3095E0BA">
      <w:pPr>
        <w:numPr>
          <w:ilvl w:val="1"/>
          <w:numId w:val="1"/>
        </w:numPr>
        <w:rPr>
          <w:rFonts w:eastAsia="Calibri"/>
        </w:rPr>
      </w:pPr>
      <w:r w:rsidRPr="008A6BDD">
        <w:rPr>
          <w:rFonts w:eastAsia="Calibri"/>
        </w:rPr>
        <w:t>Forecast annual energy prices that include CO2 costs (consistent with the Cap and Trade market), and decompose those prices into energy and environment components.</w:t>
      </w:r>
    </w:p>
    <w:p w14:paraId="55FB0B6D" w14:textId="6A2D55CC" w:rsidR="62A95F32" w:rsidRDefault="62A95F32" w:rsidP="3095E0BA">
      <w:pPr>
        <w:numPr>
          <w:ilvl w:val="1"/>
          <w:numId w:val="1"/>
        </w:numPr>
        <w:rPr>
          <w:rFonts w:eastAsia="Calibri"/>
        </w:rPr>
      </w:pPr>
      <w:r w:rsidRPr="008A6BDD">
        <w:rPr>
          <w:rFonts w:eastAsia="Calibri"/>
        </w:rPr>
        <w:t>Include adjustments to the hourly energy price profile using the CPUC RPS Calculator to account for projected increases in renewable generation.</w:t>
      </w:r>
      <w:r w:rsidR="50DAAC3D" w:rsidRPr="008A6BDD">
        <w:rPr>
          <w:rFonts w:eastAsia="Calibri"/>
        </w:rPr>
        <w:t xml:space="preserve">  RPS Calcu</w:t>
      </w:r>
      <w:r w:rsidR="78B3B494" w:rsidRPr="008A6BDD">
        <w:rPr>
          <w:rFonts w:eastAsia="Calibri"/>
        </w:rPr>
        <w:t>lator impl</w:t>
      </w:r>
      <w:r w:rsidR="50DAAC3D" w:rsidRPr="008A6BDD">
        <w:rPr>
          <w:rFonts w:eastAsia="Calibri"/>
        </w:rPr>
        <w:t xml:space="preserve">ied heat rate changes by month/hour are incorporated into the </w:t>
      </w:r>
      <w:r w:rsidR="50DAAC3D" w:rsidRPr="008A6BDD">
        <w:rPr>
          <w:rFonts w:eastAsia="Calibri"/>
        </w:rPr>
        <w:lastRenderedPageBreak/>
        <w:t xml:space="preserve">price shape for </w:t>
      </w:r>
      <w:r w:rsidR="78B3B494" w:rsidRPr="008A6BDD">
        <w:rPr>
          <w:rFonts w:eastAsia="Calibri"/>
        </w:rPr>
        <w:t xml:space="preserve">2020.  Adjustments prior to 2020 are </w:t>
      </w:r>
      <w:r w:rsidR="4C086A0A" w:rsidRPr="008A6BDD">
        <w:rPr>
          <w:rFonts w:eastAsia="Calibri"/>
        </w:rPr>
        <w:t>linearly interpolated, and adjustments after 2020 are held at the 2020 levels.</w:t>
      </w:r>
    </w:p>
    <w:p w14:paraId="2B13CE53" w14:textId="72A7E149" w:rsidR="2B260064" w:rsidRDefault="504903AA" w:rsidP="3095E0BA">
      <w:pPr>
        <w:numPr>
          <w:ilvl w:val="1"/>
          <w:numId w:val="1"/>
        </w:numPr>
        <w:rPr>
          <w:rFonts w:eastAsia="Calibri"/>
        </w:rPr>
      </w:pPr>
      <w:r w:rsidRPr="008A6BDD">
        <w:rPr>
          <w:rFonts w:eastAsia="Calibri"/>
        </w:rPr>
        <w:t>CT levelized cost changes</w:t>
      </w:r>
    </w:p>
    <w:p w14:paraId="1B092D46" w14:textId="14FBD01D" w:rsidR="2B260064" w:rsidRDefault="504903AA">
      <w:pPr>
        <w:numPr>
          <w:ilvl w:val="2"/>
          <w:numId w:val="1"/>
        </w:numPr>
        <w:rPr>
          <w:rFonts w:eastAsia="Calibri"/>
        </w:rPr>
      </w:pPr>
      <w:r w:rsidRPr="008A6BDD">
        <w:rPr>
          <w:rFonts w:eastAsia="Calibri"/>
        </w:rPr>
        <w:t xml:space="preserve">Change from use of </w:t>
      </w:r>
      <w:r w:rsidR="3EC6CF88" w:rsidRPr="008A6BDD">
        <w:rPr>
          <w:rFonts w:eastAsia="Calibri"/>
        </w:rPr>
        <w:t xml:space="preserve">instant </w:t>
      </w:r>
      <w:r w:rsidRPr="008A6BDD">
        <w:rPr>
          <w:rFonts w:eastAsia="Calibri"/>
        </w:rPr>
        <w:t>costs to installed costs as CT plant cost input</w:t>
      </w:r>
    </w:p>
    <w:p w14:paraId="6D10B2E0" w14:textId="739E3CD9" w:rsidR="504903AA" w:rsidRDefault="07967B52">
      <w:pPr>
        <w:numPr>
          <w:ilvl w:val="2"/>
          <w:numId w:val="1"/>
        </w:numPr>
        <w:rPr>
          <w:rFonts w:eastAsia="Calibri"/>
        </w:rPr>
      </w:pPr>
      <w:r w:rsidRPr="5BD6E86E">
        <w:t>Remove manufacturer tax credit</w:t>
      </w:r>
    </w:p>
    <w:p w14:paraId="22B260D1" w14:textId="6CBC41BC" w:rsidR="07967B52" w:rsidRDefault="7814C2A1" w:rsidP="3095E0BA">
      <w:pPr>
        <w:numPr>
          <w:ilvl w:val="2"/>
          <w:numId w:val="1"/>
        </w:numPr>
        <w:rPr>
          <w:rFonts w:eastAsia="Calibri"/>
        </w:rPr>
      </w:pPr>
      <w:r w:rsidRPr="5BD6E86E">
        <w:t xml:space="preserve">Remove short term tax effect scaling factor (as installed costs are used instead of </w:t>
      </w:r>
      <w:r w:rsidR="3EC6CF88" w:rsidRPr="5BD6E86E">
        <w:t xml:space="preserve">instant </w:t>
      </w:r>
      <w:r w:rsidRPr="5BD6E86E">
        <w:t>costs)</w:t>
      </w:r>
    </w:p>
    <w:p w14:paraId="5DB57916" w14:textId="6C895A65" w:rsidR="05DA9323" w:rsidRDefault="05DA9323" w:rsidP="3095E0BA">
      <w:pPr>
        <w:pStyle w:val="ListParagraph"/>
        <w:numPr>
          <w:ilvl w:val="0"/>
          <w:numId w:val="1"/>
        </w:numPr>
        <w:rPr>
          <w:rFonts w:eastAsia="Calibri"/>
        </w:rPr>
      </w:pPr>
      <w:r w:rsidRPr="008A6BDD">
        <w:rPr>
          <w:rStyle w:val="Strong"/>
        </w:rPr>
        <w:t>Simple Data Updates</w:t>
      </w:r>
    </w:p>
    <w:p w14:paraId="062B509E" w14:textId="049998E5" w:rsidR="05DA9323" w:rsidRDefault="1285F18B" w:rsidP="008A6BDD">
      <w:pPr>
        <w:numPr>
          <w:ilvl w:val="1"/>
          <w:numId w:val="2"/>
        </w:numPr>
      </w:pPr>
      <w:r w:rsidRPr="1285F18B">
        <w:t>Move the resource balance year (the year when the avoided costs for are based on sustaining new CT and CCGT units in the market) to 2015.</w:t>
      </w:r>
    </w:p>
    <w:p w14:paraId="3D698DE4" w14:textId="6C895A65" w:rsidR="05DA9323" w:rsidRDefault="05DA9323" w:rsidP="008A6BDD">
      <w:pPr>
        <w:numPr>
          <w:ilvl w:val="1"/>
          <w:numId w:val="2"/>
        </w:numPr>
      </w:pPr>
      <w:r>
        <w:t>Update the cost and operating characteristics of a simple cycle gas turbine (CT) and a combined cycle gas turbine (CCGT) unit with data from the CEC Estimated Cost of New Renewable and Fossil Generation in California report</w:t>
      </w:r>
      <w:r w:rsidRPr="008A6BDD">
        <w:rPr>
          <w:rStyle w:val="FootnoteReference"/>
        </w:rPr>
        <w:footnoteReference w:id="19"/>
      </w:r>
      <w:r w:rsidRPr="42C633DC">
        <w:t>.</w:t>
      </w:r>
    </w:p>
    <w:p w14:paraId="7E0FCE05" w14:textId="56E564E4" w:rsidR="05DA9323" w:rsidRDefault="05DA9323" w:rsidP="2B260064">
      <w:pPr>
        <w:numPr>
          <w:ilvl w:val="1"/>
          <w:numId w:val="2"/>
        </w:numPr>
      </w:pPr>
      <w:r>
        <w:t xml:space="preserve">Update the ancillary service </w:t>
      </w:r>
      <w:r w:rsidR="7235951E">
        <w:t>p</w:t>
      </w:r>
      <w:r w:rsidR="6D6352EB">
        <w:t xml:space="preserve">ercentage relative to energy costs </w:t>
      </w:r>
      <w:r>
        <w:t>to reflect 2015 markets</w:t>
      </w:r>
    </w:p>
    <w:p w14:paraId="598CBCD0" w14:textId="7E55D7B3" w:rsidR="6D6352EB" w:rsidRDefault="6D6352EB" w:rsidP="008A6BDD">
      <w:pPr>
        <w:numPr>
          <w:ilvl w:val="1"/>
          <w:numId w:val="2"/>
        </w:numPr>
      </w:pPr>
      <w:r>
        <w:t>Update the CT ancillar</w:t>
      </w:r>
      <w:r w:rsidR="75664574">
        <w:t xml:space="preserve">y revenues adder with the CAISO 2015 market performance and monitoring </w:t>
      </w:r>
      <w:r w:rsidR="6921EF02">
        <w:t>report.</w:t>
      </w:r>
    </w:p>
    <w:p w14:paraId="2C5B4ACE" w14:textId="6C895A65" w:rsidR="05DA9323" w:rsidRDefault="05DA9323" w:rsidP="2B260064">
      <w:pPr>
        <w:numPr>
          <w:ilvl w:val="1"/>
          <w:numId w:val="2"/>
        </w:numPr>
      </w:pPr>
      <w:r>
        <w:t>Update T&amp;D capacity costs for latest utility General Rate Case (GRC) filings.</w:t>
      </w:r>
    </w:p>
    <w:p w14:paraId="55B9F35F" w14:textId="6C895A65" w:rsidR="05DA9323" w:rsidRDefault="05DA9323" w:rsidP="2B260064">
      <w:pPr>
        <w:numPr>
          <w:ilvl w:val="1"/>
          <w:numId w:val="2"/>
        </w:numPr>
      </w:pPr>
      <w:r>
        <w:lastRenderedPageBreak/>
        <w:t>Replace Synapse forecast of CO2 price forecast with 2015 IEPR mid-case forecast values</w:t>
      </w:r>
    </w:p>
    <w:p w14:paraId="2B99F525" w14:textId="100BCBB3" w:rsidR="05DA9323" w:rsidRDefault="05DA9323" w:rsidP="2B260064">
      <w:pPr>
        <w:numPr>
          <w:ilvl w:val="1"/>
          <w:numId w:val="2"/>
        </w:numPr>
      </w:pPr>
      <w:r>
        <w:t>Update the marginal RPS cost (used to calculate the RPS premium) with values from the latest RPS Calculator spreadsheet model (version 6.2)</w:t>
      </w:r>
    </w:p>
    <w:p w14:paraId="2F92528B" w14:textId="05A5DD70" w:rsidR="00AC3D95" w:rsidRDefault="00AC3D95" w:rsidP="2B260064">
      <w:pPr>
        <w:numPr>
          <w:ilvl w:val="1"/>
          <w:numId w:val="2"/>
        </w:numPr>
      </w:pPr>
      <w:r>
        <w:t>Updated RECAP model to incorporate 2015 LTPP net qualifying capacity generator data, updated NREL wind profiles from the western wind dataset, and load and renewable penetrations consistent with SB 350 i.e. 2x energy efficiency and 50% RPS by 2030</w:t>
      </w:r>
    </w:p>
    <w:sectPr w:rsidR="00AC3D95" w:rsidSect="00C97C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54CC2" w14:textId="77777777" w:rsidR="008B5C2F" w:rsidRDefault="008B5C2F" w:rsidP="000145D0">
      <w:r>
        <w:separator/>
      </w:r>
    </w:p>
  </w:endnote>
  <w:endnote w:type="continuationSeparator" w:id="0">
    <w:p w14:paraId="7B8F2405" w14:textId="77777777" w:rsidR="008B5C2F" w:rsidRDefault="008B5C2F" w:rsidP="00014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CF928" w14:textId="3C7F44F6" w:rsidR="008B5C2F" w:rsidRDefault="008B5C2F" w:rsidP="00121E26">
    <w:pPr>
      <w:pStyle w:val="Footer"/>
      <w:pBdr>
        <w:top w:val="single" w:sz="4" w:space="1" w:color="D9D9D9"/>
      </w:pBdr>
      <w:jc w:val="right"/>
    </w:pPr>
    <w:r>
      <w:rPr>
        <w:noProof/>
      </w:rPr>
      <w:fldChar w:fldCharType="begin"/>
    </w:r>
    <w:r>
      <w:instrText xml:space="preserve"> PAGE   \* MERGEFORMAT </w:instrText>
    </w:r>
    <w:r>
      <w:fldChar w:fldCharType="separate"/>
    </w:r>
    <w:r w:rsidR="00637C2D">
      <w:rPr>
        <w:noProof/>
      </w:rPr>
      <w:t>20</w:t>
    </w:r>
    <w:r>
      <w:rPr>
        <w:noProof/>
      </w:rPr>
      <w:fldChar w:fldCharType="end"/>
    </w:r>
    <w:r>
      <w:t xml:space="preserve"> | </w:t>
    </w:r>
    <w:r w:rsidRPr="00121E26">
      <w:rPr>
        <w:color w:val="808080"/>
        <w:spacing w:val="60"/>
      </w:rPr>
      <w:t>Page</w:t>
    </w:r>
  </w:p>
  <w:p w14:paraId="798F39A9" w14:textId="77777777" w:rsidR="008B5C2F" w:rsidRDefault="008B5C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A64B" w14:textId="77777777" w:rsidR="008B5C2F" w:rsidRDefault="008B5C2F" w:rsidP="000145D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557101" w14:textId="77777777" w:rsidR="008B5C2F" w:rsidRDefault="008B5C2F" w:rsidP="00014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7EDC3" w14:textId="2A50177B" w:rsidR="008B5C2F" w:rsidRDefault="008B5C2F" w:rsidP="00121E26">
    <w:pPr>
      <w:pStyle w:val="Footer"/>
      <w:pBdr>
        <w:top w:val="single" w:sz="4" w:space="1" w:color="D9D9D9"/>
      </w:pBdr>
      <w:jc w:val="right"/>
    </w:pPr>
    <w:r>
      <w:fldChar w:fldCharType="begin"/>
    </w:r>
    <w:r>
      <w:instrText xml:space="preserve"> PAGE   \* MERGEFORMAT </w:instrText>
    </w:r>
    <w:r>
      <w:fldChar w:fldCharType="separate"/>
    </w:r>
    <w:r w:rsidR="00937042">
      <w:rPr>
        <w:noProof/>
      </w:rPr>
      <w:t>48</w:t>
    </w:r>
    <w:r>
      <w:rPr>
        <w:noProof/>
      </w:rPr>
      <w:fldChar w:fldCharType="end"/>
    </w:r>
    <w:r>
      <w:t xml:space="preserve"> | </w:t>
    </w:r>
    <w:r w:rsidRPr="00121E26">
      <w:rPr>
        <w:color w:val="808080"/>
        <w:spacing w:val="60"/>
      </w:rPr>
      <w:t>Page</w:t>
    </w:r>
  </w:p>
  <w:p w14:paraId="745943A7" w14:textId="77777777" w:rsidR="008B5C2F" w:rsidRDefault="008B5C2F" w:rsidP="00014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59F79" w14:textId="77777777" w:rsidR="008B5C2F" w:rsidRDefault="008B5C2F" w:rsidP="000145D0">
      <w:r>
        <w:separator/>
      </w:r>
    </w:p>
  </w:footnote>
  <w:footnote w:type="continuationSeparator" w:id="0">
    <w:p w14:paraId="3E6C5C63" w14:textId="77777777" w:rsidR="008B5C2F" w:rsidRDefault="008B5C2F" w:rsidP="000145D0">
      <w:r>
        <w:continuationSeparator/>
      </w:r>
    </w:p>
  </w:footnote>
  <w:footnote w:id="1">
    <w:p w14:paraId="7C2290A4" w14:textId="1972F72D" w:rsidR="008B5C2F" w:rsidRDefault="008B5C2F">
      <w:pPr>
        <w:pStyle w:val="FootnoteText"/>
      </w:pPr>
      <w:r>
        <w:rPr>
          <w:rStyle w:val="FootnoteReference"/>
        </w:rPr>
        <w:footnoteRef/>
      </w:r>
      <w:r>
        <w:t xml:space="preserve"> </w:t>
      </w:r>
      <w:hyperlink r:id="rId1" w:history="1">
        <w:r w:rsidRPr="00293876">
          <w:rPr>
            <w:rStyle w:val="Hyperlink"/>
            <w:color w:val="auto"/>
          </w:rPr>
          <w:t>https://ethree.com/public_projects/recap.php</w:t>
        </w:r>
      </w:hyperlink>
      <w:r>
        <w:t xml:space="preserve"> </w:t>
      </w:r>
      <w:r w:rsidRPr="00293876">
        <w:t xml:space="preserve"> </w:t>
      </w:r>
    </w:p>
  </w:footnote>
  <w:footnote w:id="2">
    <w:p w14:paraId="5513E9EC" w14:textId="77777777" w:rsidR="008B5C2F" w:rsidRDefault="008B5C2F">
      <w:pPr>
        <w:pStyle w:val="FootnoteText"/>
      </w:pPr>
      <w:r>
        <w:rPr>
          <w:rStyle w:val="FootnoteReference"/>
        </w:rPr>
        <w:footnoteRef/>
      </w:r>
      <w:r>
        <w:t xml:space="preserve"> </w:t>
      </w:r>
      <w:hyperlink r:id="rId2" w:history="1">
        <w:r w:rsidRPr="00F25814">
          <w:rPr>
            <w:rStyle w:val="Hyperlink"/>
          </w:rPr>
          <w:t>http://www.energy.ca.gov/2014publications/CEC-200-2014-003/index.html</w:t>
        </w:r>
      </w:hyperlink>
    </w:p>
    <w:p w14:paraId="7801F6CC" w14:textId="77777777" w:rsidR="008B5C2F" w:rsidRDefault="008B5C2F">
      <w:pPr>
        <w:pStyle w:val="FootnoteText"/>
      </w:pPr>
    </w:p>
  </w:footnote>
  <w:footnote w:id="3">
    <w:p w14:paraId="2527EA3B" w14:textId="5AB34B1A" w:rsidR="008B5C2F" w:rsidRDefault="008B5C2F">
      <w:pPr>
        <w:pStyle w:val="FootnoteText"/>
      </w:pPr>
      <w:r>
        <w:rPr>
          <w:rStyle w:val="FootnoteReference"/>
        </w:rPr>
        <w:footnoteRef/>
      </w:r>
      <w:r>
        <w:t xml:space="preserve"> </w:t>
      </w:r>
      <w:r w:rsidRPr="00E754D2">
        <w:t>http://www.energy.ca.gov/2014publications/CEC-200-2014-003/CEC-200-2014-003-SF.pdf</w:t>
      </w:r>
    </w:p>
  </w:footnote>
  <w:footnote w:id="4">
    <w:p w14:paraId="24150907" w14:textId="77777777" w:rsidR="008B5C2F" w:rsidRPr="00A00333" w:rsidRDefault="008B5C2F" w:rsidP="00F214CF">
      <w:pPr>
        <w:spacing w:before="0" w:after="0" w:line="240" w:lineRule="auto"/>
        <w:rPr>
          <w:sz w:val="22"/>
        </w:rPr>
      </w:pPr>
      <w:r>
        <w:rPr>
          <w:rStyle w:val="FootnoteReference"/>
        </w:rPr>
        <w:footnoteRef/>
      </w:r>
      <w:r>
        <w:t xml:space="preserve"> </w:t>
      </w:r>
      <w:r w:rsidRPr="000637DE">
        <w:rPr>
          <w:sz w:val="22"/>
          <w:szCs w:val="22"/>
        </w:rPr>
        <w:t>The actual process steps for determining the calibration factor for each year (and therefore the real-time and day-ahead market prices) are listed below.</w:t>
      </w:r>
    </w:p>
    <w:p w14:paraId="56080983" w14:textId="6835CE76" w:rsidR="008B5C2F" w:rsidRPr="00A00333" w:rsidRDefault="008B5C2F" w:rsidP="008A6BDD">
      <w:pPr>
        <w:numPr>
          <w:ilvl w:val="0"/>
          <w:numId w:val="3"/>
        </w:numPr>
        <w:spacing w:before="0" w:after="0" w:line="240" w:lineRule="auto"/>
        <w:rPr>
          <w:sz w:val="22"/>
          <w:szCs w:val="22"/>
        </w:rPr>
      </w:pPr>
      <w:r w:rsidRPr="000637DE">
        <w:rPr>
          <w:sz w:val="22"/>
          <w:szCs w:val="22"/>
        </w:rPr>
        <w:t xml:space="preserve">Set the annual day-ahead energy price at the </w:t>
      </w:r>
      <w:r w:rsidRPr="00C62D91">
        <w:rPr>
          <w:sz w:val="22"/>
          <w:szCs w:val="22"/>
        </w:rPr>
        <w:t>2015</w:t>
      </w:r>
      <w:r w:rsidRPr="00813981">
        <w:rPr>
          <w:sz w:val="22"/>
          <w:szCs w:val="22"/>
        </w:rPr>
        <w:t xml:space="preserve"> level increased by the percentage change in the forecast annual gas burner tip price.</w:t>
      </w:r>
    </w:p>
    <w:p w14:paraId="0D61DABB" w14:textId="77777777" w:rsidR="008B5C2F" w:rsidRPr="00A00333" w:rsidRDefault="008B5C2F" w:rsidP="008A6BDD">
      <w:pPr>
        <w:numPr>
          <w:ilvl w:val="0"/>
          <w:numId w:val="3"/>
        </w:numPr>
        <w:spacing w:before="0" w:after="0" w:line="240" w:lineRule="auto"/>
        <w:rPr>
          <w:sz w:val="22"/>
          <w:szCs w:val="22"/>
        </w:rPr>
      </w:pPr>
      <w:r w:rsidRPr="00813981">
        <w:rPr>
          <w:sz w:val="22"/>
          <w:szCs w:val="22"/>
        </w:rPr>
        <w:t>Set the energy market calibration factor to 100%</w:t>
      </w:r>
    </w:p>
    <w:p w14:paraId="7E11003C" w14:textId="77777777" w:rsidR="008B5C2F" w:rsidRPr="00A00333" w:rsidRDefault="008B5C2F" w:rsidP="008A6BDD">
      <w:pPr>
        <w:numPr>
          <w:ilvl w:val="0"/>
          <w:numId w:val="3"/>
        </w:numPr>
        <w:spacing w:before="0" w:after="0" w:line="240" w:lineRule="auto"/>
        <w:rPr>
          <w:sz w:val="22"/>
          <w:szCs w:val="22"/>
        </w:rPr>
      </w:pPr>
      <w:r w:rsidRPr="00813981">
        <w:rPr>
          <w:sz w:val="22"/>
          <w:szCs w:val="22"/>
        </w:rPr>
        <w:t>Multiply (1) by (2) to yield the adjusted annual day-ahead price</w:t>
      </w:r>
    </w:p>
    <w:p w14:paraId="6D4308DD" w14:textId="77777777" w:rsidR="008B5C2F" w:rsidRPr="00A00333" w:rsidRDefault="008B5C2F" w:rsidP="008A6BDD">
      <w:pPr>
        <w:numPr>
          <w:ilvl w:val="0"/>
          <w:numId w:val="3"/>
        </w:numPr>
        <w:spacing w:before="0" w:after="0" w:line="240" w:lineRule="auto"/>
        <w:rPr>
          <w:sz w:val="22"/>
          <w:szCs w:val="22"/>
        </w:rPr>
      </w:pPr>
      <w:r w:rsidRPr="00813981">
        <w:rPr>
          <w:sz w:val="22"/>
          <w:szCs w:val="22"/>
        </w:rPr>
        <w:t>Calculate capacity cost</w:t>
      </w:r>
    </w:p>
    <w:p w14:paraId="3FB7E4EC" w14:textId="5E6463AC" w:rsidR="008B5C2F" w:rsidRPr="00A00333" w:rsidRDefault="008B5C2F" w:rsidP="008A6BDD">
      <w:pPr>
        <w:numPr>
          <w:ilvl w:val="1"/>
          <w:numId w:val="3"/>
        </w:numPr>
        <w:spacing w:before="0" w:after="0" w:line="240" w:lineRule="auto"/>
        <w:rPr>
          <w:sz w:val="22"/>
          <w:szCs w:val="22"/>
        </w:rPr>
      </w:pPr>
      <w:r w:rsidRPr="00813981">
        <w:rPr>
          <w:sz w:val="22"/>
          <w:szCs w:val="22"/>
        </w:rPr>
        <w:t>Multiply the real-time hourly price shape by the adjusted annual day ahead price</w:t>
      </w:r>
    </w:p>
    <w:p w14:paraId="0CD5F519" w14:textId="77777777" w:rsidR="008B5C2F" w:rsidRPr="00A00333" w:rsidRDefault="008B5C2F" w:rsidP="008A6BDD">
      <w:pPr>
        <w:numPr>
          <w:ilvl w:val="1"/>
          <w:numId w:val="3"/>
        </w:numPr>
        <w:spacing w:before="0" w:after="0" w:line="240" w:lineRule="auto"/>
        <w:rPr>
          <w:sz w:val="22"/>
          <w:szCs w:val="22"/>
        </w:rPr>
      </w:pPr>
      <w:r w:rsidRPr="00813981">
        <w:rPr>
          <w:sz w:val="22"/>
          <w:szCs w:val="22"/>
        </w:rPr>
        <w:t>Dispatch a new CT against the hourly prices in Northern and Southern CA from 4a to determine real time dispatch revenue in Northern and Southern CA</w:t>
      </w:r>
    </w:p>
    <w:p w14:paraId="07287EE0" w14:textId="46F454E8" w:rsidR="008B5C2F" w:rsidRPr="008A6BDD" w:rsidRDefault="008B5C2F" w:rsidP="008A6BDD">
      <w:pPr>
        <w:numPr>
          <w:ilvl w:val="1"/>
          <w:numId w:val="3"/>
        </w:numPr>
        <w:spacing w:before="0" w:after="0" w:line="240" w:lineRule="auto"/>
        <w:rPr>
          <w:sz w:val="22"/>
          <w:szCs w:val="22"/>
        </w:rPr>
      </w:pPr>
      <w:r w:rsidRPr="008A6BDD">
        <w:rPr>
          <w:sz w:val="22"/>
          <w:szCs w:val="22"/>
        </w:rPr>
        <w:t>Calculate ancillary service revenues as 2.74% of the real-time dispatch revenue</w:t>
      </w:r>
    </w:p>
    <w:p w14:paraId="37981318" w14:textId="77777777" w:rsidR="008B5C2F" w:rsidRPr="00A00333" w:rsidRDefault="008B5C2F" w:rsidP="008A6BDD">
      <w:pPr>
        <w:numPr>
          <w:ilvl w:val="1"/>
          <w:numId w:val="3"/>
        </w:numPr>
        <w:spacing w:before="0" w:after="0" w:line="240" w:lineRule="auto"/>
        <w:rPr>
          <w:sz w:val="22"/>
          <w:szCs w:val="22"/>
        </w:rPr>
      </w:pPr>
      <w:r w:rsidRPr="00813981">
        <w:rPr>
          <w:sz w:val="22"/>
          <w:szCs w:val="22"/>
        </w:rPr>
        <w:t xml:space="preserve">Capacity value is the net capacity cost.  Net capacity cost = the levelized cost of the new CT plus fuel and O&amp;M costs less </w:t>
      </w:r>
      <w:r w:rsidRPr="008A6BDD">
        <w:fldChar w:fldCharType="begin"/>
      </w:r>
      <w:r w:rsidRPr="00A00333">
        <w:rPr>
          <w:sz w:val="22"/>
        </w:rPr>
        <w:instrText xml:space="preserve"> REF _Ref297735360 \w \h </w:instrText>
      </w:r>
      <w:r w:rsidRPr="008A6BDD">
        <w:rPr>
          <w:sz w:val="22"/>
        </w:rPr>
        <w:fldChar w:fldCharType="separate"/>
      </w:r>
      <w:r w:rsidRPr="008A6BDD">
        <w:rPr>
          <w:sz w:val="22"/>
          <w:szCs w:val="22"/>
        </w:rPr>
        <w:t>4.b</w:t>
      </w:r>
      <w:r w:rsidRPr="008A6BDD">
        <w:fldChar w:fldCharType="end"/>
      </w:r>
      <w:r w:rsidRPr="00813981">
        <w:rPr>
          <w:sz w:val="22"/>
          <w:szCs w:val="22"/>
        </w:rPr>
        <w:t xml:space="preserve"> and </w:t>
      </w:r>
      <w:r w:rsidRPr="008A6BDD">
        <w:fldChar w:fldCharType="begin"/>
      </w:r>
      <w:r w:rsidRPr="00A00333">
        <w:rPr>
          <w:sz w:val="22"/>
        </w:rPr>
        <w:instrText xml:space="preserve"> REF _Ref297735363 \w \h </w:instrText>
      </w:r>
      <w:r w:rsidRPr="008A6BDD">
        <w:rPr>
          <w:sz w:val="22"/>
        </w:rPr>
        <w:fldChar w:fldCharType="separate"/>
      </w:r>
      <w:r w:rsidRPr="008A6BDD">
        <w:rPr>
          <w:sz w:val="22"/>
          <w:szCs w:val="22"/>
        </w:rPr>
        <w:t>4.c</w:t>
      </w:r>
      <w:r w:rsidRPr="008A6BDD">
        <w:fldChar w:fldCharType="end"/>
      </w:r>
    </w:p>
    <w:p w14:paraId="602150A4" w14:textId="77777777" w:rsidR="008B5C2F" w:rsidRDefault="008B5C2F" w:rsidP="008A6BDD">
      <w:pPr>
        <w:numPr>
          <w:ilvl w:val="1"/>
          <w:numId w:val="3"/>
        </w:numPr>
        <w:spacing w:before="0" w:after="0" w:line="240" w:lineRule="auto"/>
        <w:rPr>
          <w:sz w:val="22"/>
          <w:szCs w:val="22"/>
        </w:rPr>
      </w:pPr>
      <w:r w:rsidRPr="00813981">
        <w:rPr>
          <w:sz w:val="22"/>
          <w:szCs w:val="22"/>
        </w:rPr>
        <w:t>Adjust capacity value ($/kW-</w:t>
      </w:r>
      <w:proofErr w:type="spellStart"/>
      <w:r w:rsidRPr="00813981">
        <w:rPr>
          <w:sz w:val="22"/>
          <w:szCs w:val="22"/>
        </w:rPr>
        <w:t>yr</w:t>
      </w:r>
      <w:proofErr w:type="spellEnd"/>
      <w:r w:rsidRPr="00813981">
        <w:rPr>
          <w:sz w:val="22"/>
          <w:szCs w:val="22"/>
        </w:rPr>
        <w:t>) to reflect degraded output at system peak weather conditions</w:t>
      </w:r>
    </w:p>
    <w:p w14:paraId="791F8402" w14:textId="77777777" w:rsidR="008B5C2F" w:rsidRPr="00A00333" w:rsidRDefault="008B5C2F" w:rsidP="008A6BDD">
      <w:pPr>
        <w:numPr>
          <w:ilvl w:val="1"/>
          <w:numId w:val="3"/>
        </w:numPr>
        <w:spacing w:before="0" w:after="0" w:line="240" w:lineRule="auto"/>
        <w:rPr>
          <w:sz w:val="22"/>
          <w:szCs w:val="22"/>
        </w:rPr>
      </w:pPr>
      <w:r w:rsidRPr="00813981">
        <w:rPr>
          <w:sz w:val="22"/>
          <w:szCs w:val="22"/>
        </w:rPr>
        <w:t>Set the capacity value at the average of Northern and Southern CA capacity values</w:t>
      </w:r>
    </w:p>
    <w:p w14:paraId="49183829" w14:textId="77777777" w:rsidR="008B5C2F" w:rsidRPr="00A00333" w:rsidRDefault="008B5C2F" w:rsidP="008A6BDD">
      <w:pPr>
        <w:numPr>
          <w:ilvl w:val="0"/>
          <w:numId w:val="3"/>
        </w:numPr>
        <w:spacing w:before="0" w:after="0" w:line="240" w:lineRule="auto"/>
        <w:rPr>
          <w:sz w:val="22"/>
          <w:szCs w:val="22"/>
        </w:rPr>
      </w:pPr>
      <w:r w:rsidRPr="00813981">
        <w:rPr>
          <w:sz w:val="22"/>
          <w:szCs w:val="22"/>
        </w:rPr>
        <w:t>Calculate energy cost</w:t>
      </w:r>
    </w:p>
    <w:p w14:paraId="412F6B6A" w14:textId="00139954" w:rsidR="008B5C2F" w:rsidRPr="00A00333" w:rsidRDefault="008B5C2F" w:rsidP="008A6BDD">
      <w:pPr>
        <w:numPr>
          <w:ilvl w:val="1"/>
          <w:numId w:val="3"/>
        </w:numPr>
        <w:spacing w:before="0" w:after="0" w:line="240" w:lineRule="auto"/>
        <w:rPr>
          <w:sz w:val="22"/>
          <w:szCs w:val="22"/>
        </w:rPr>
      </w:pPr>
      <w:r w:rsidRPr="00813981">
        <w:rPr>
          <w:sz w:val="22"/>
          <w:szCs w:val="22"/>
        </w:rPr>
        <w:t>Multiply the day-ahead hourly price shape by the adjusted annual day ahead price</w:t>
      </w:r>
    </w:p>
    <w:p w14:paraId="53389846" w14:textId="77777777" w:rsidR="008B5C2F" w:rsidRPr="00A00333" w:rsidRDefault="008B5C2F" w:rsidP="008A6BDD">
      <w:pPr>
        <w:numPr>
          <w:ilvl w:val="1"/>
          <w:numId w:val="3"/>
        </w:numPr>
        <w:spacing w:before="0" w:after="0" w:line="240" w:lineRule="auto"/>
        <w:rPr>
          <w:sz w:val="22"/>
          <w:szCs w:val="22"/>
        </w:rPr>
      </w:pPr>
      <w:r w:rsidRPr="00813981">
        <w:rPr>
          <w:sz w:val="22"/>
          <w:szCs w:val="22"/>
        </w:rPr>
        <w:t xml:space="preserve">Dispatch a new CCGT against the hourly prices from </w:t>
      </w:r>
      <w:r w:rsidRPr="008A6BDD">
        <w:fldChar w:fldCharType="begin"/>
      </w:r>
      <w:r w:rsidRPr="00A00333">
        <w:rPr>
          <w:sz w:val="22"/>
        </w:rPr>
        <w:instrText xml:space="preserve"> REF _Ref297735513 \w \h </w:instrText>
      </w:r>
      <w:r w:rsidRPr="008A6BDD">
        <w:rPr>
          <w:sz w:val="22"/>
        </w:rPr>
        <w:fldChar w:fldCharType="separate"/>
      </w:r>
      <w:r w:rsidRPr="008A6BDD">
        <w:rPr>
          <w:sz w:val="22"/>
          <w:szCs w:val="22"/>
        </w:rPr>
        <w:t>5.</w:t>
      </w:r>
      <w:proofErr w:type="spellStart"/>
      <w:r w:rsidRPr="008A6BDD">
        <w:rPr>
          <w:sz w:val="22"/>
          <w:szCs w:val="22"/>
        </w:rPr>
        <w:t>a</w:t>
      </w:r>
      <w:proofErr w:type="spellEnd"/>
      <w:r w:rsidRPr="008A6BDD">
        <w:fldChar w:fldCharType="end"/>
      </w:r>
      <w:r w:rsidRPr="00813981">
        <w:rPr>
          <w:sz w:val="22"/>
          <w:szCs w:val="22"/>
        </w:rPr>
        <w:t xml:space="preserve"> to determine the day-ahead dispatch revenue </w:t>
      </w:r>
    </w:p>
    <w:p w14:paraId="3D369C4F" w14:textId="77777777" w:rsidR="008B5C2F" w:rsidRPr="00A00333" w:rsidRDefault="008B5C2F" w:rsidP="008A6BDD">
      <w:pPr>
        <w:numPr>
          <w:ilvl w:val="1"/>
          <w:numId w:val="3"/>
        </w:numPr>
        <w:spacing w:before="0" w:after="0" w:line="240" w:lineRule="auto"/>
        <w:rPr>
          <w:sz w:val="22"/>
          <w:szCs w:val="22"/>
        </w:rPr>
      </w:pPr>
      <w:r w:rsidRPr="00813981">
        <w:rPr>
          <w:sz w:val="22"/>
          <w:szCs w:val="22"/>
        </w:rPr>
        <w:t xml:space="preserve">Calculate the excess (deficient) margin of a CCGT unit as the levelized cost of a new CCGT plus fuel and O&amp;M costs less </w:t>
      </w:r>
      <w:r w:rsidRPr="008A6BDD">
        <w:fldChar w:fldCharType="begin"/>
      </w:r>
      <w:r w:rsidRPr="00A00333">
        <w:rPr>
          <w:sz w:val="22"/>
        </w:rPr>
        <w:instrText xml:space="preserve"> REF _Ref297735674 \w \h </w:instrText>
      </w:r>
      <w:r w:rsidRPr="008A6BDD">
        <w:rPr>
          <w:sz w:val="22"/>
        </w:rPr>
        <w:fldChar w:fldCharType="separate"/>
      </w:r>
      <w:r w:rsidRPr="008A6BDD">
        <w:rPr>
          <w:sz w:val="22"/>
          <w:szCs w:val="22"/>
        </w:rPr>
        <w:t>5.b</w:t>
      </w:r>
      <w:r w:rsidRPr="008A6BDD">
        <w:fldChar w:fldCharType="end"/>
      </w:r>
      <w:r w:rsidRPr="00813981">
        <w:rPr>
          <w:sz w:val="22"/>
          <w:szCs w:val="22"/>
        </w:rPr>
        <w:t xml:space="preserve"> and less </w:t>
      </w:r>
      <w:r w:rsidRPr="008A6BDD">
        <w:fldChar w:fldCharType="begin"/>
      </w:r>
      <w:r w:rsidRPr="00A00333">
        <w:rPr>
          <w:sz w:val="22"/>
        </w:rPr>
        <w:instrText xml:space="preserve"> REF _Ref297735841 \w \h </w:instrText>
      </w:r>
      <w:r w:rsidRPr="008A6BDD">
        <w:rPr>
          <w:sz w:val="22"/>
        </w:rPr>
        <w:fldChar w:fldCharType="separate"/>
      </w:r>
      <w:r w:rsidRPr="008A6BDD">
        <w:rPr>
          <w:sz w:val="22"/>
          <w:szCs w:val="22"/>
        </w:rPr>
        <w:t>4.e</w:t>
      </w:r>
      <w:r w:rsidRPr="008A6BDD">
        <w:fldChar w:fldCharType="end"/>
      </w:r>
      <w:r w:rsidRPr="00813981">
        <w:rPr>
          <w:sz w:val="22"/>
          <w:szCs w:val="22"/>
        </w:rPr>
        <w:t xml:space="preserve"> (adjusted for CCGT output degradation)</w:t>
      </w:r>
    </w:p>
    <w:p w14:paraId="7317453C" w14:textId="77777777" w:rsidR="008B5C2F" w:rsidRPr="00A00333" w:rsidRDefault="008B5C2F" w:rsidP="008A6BDD">
      <w:pPr>
        <w:numPr>
          <w:ilvl w:val="0"/>
          <w:numId w:val="3"/>
        </w:numPr>
        <w:spacing w:before="0" w:after="0" w:line="240" w:lineRule="auto"/>
        <w:rPr>
          <w:sz w:val="22"/>
          <w:szCs w:val="22"/>
        </w:rPr>
      </w:pPr>
      <w:r w:rsidRPr="00813981">
        <w:rPr>
          <w:sz w:val="22"/>
          <w:szCs w:val="22"/>
        </w:rPr>
        <w:t xml:space="preserve">If there is excess or deficient margin for the CCGT unit, decrease or increase the energy market calibration factor, and repeat from step </w:t>
      </w:r>
      <w:r w:rsidRPr="008A6BDD">
        <w:fldChar w:fldCharType="begin"/>
      </w:r>
      <w:r w:rsidRPr="00A00333">
        <w:rPr>
          <w:sz w:val="22"/>
        </w:rPr>
        <w:instrText xml:space="preserve"> REF _Ref297735956 \w \h </w:instrText>
      </w:r>
      <w:r w:rsidRPr="008A6BDD">
        <w:rPr>
          <w:sz w:val="22"/>
        </w:rPr>
        <w:fldChar w:fldCharType="separate"/>
      </w:r>
      <w:r w:rsidRPr="008A6BDD">
        <w:rPr>
          <w:sz w:val="22"/>
          <w:szCs w:val="22"/>
        </w:rPr>
        <w:t>2</w:t>
      </w:r>
      <w:r w:rsidRPr="008A6BDD">
        <w:fldChar w:fldCharType="end"/>
      </w:r>
      <w:r w:rsidRPr="00813981">
        <w:rPr>
          <w:sz w:val="22"/>
          <w:szCs w:val="22"/>
        </w:rPr>
        <w:t xml:space="preserve">.  </w:t>
      </w:r>
    </w:p>
    <w:p w14:paraId="5EC7F406" w14:textId="77777777" w:rsidR="008B5C2F" w:rsidRDefault="008B5C2F" w:rsidP="00F214CF">
      <w:pPr>
        <w:pStyle w:val="FootnoteText"/>
      </w:pPr>
    </w:p>
  </w:footnote>
  <w:footnote w:id="5">
    <w:p w14:paraId="277210E4" w14:textId="0674F160" w:rsidR="008B5C2F" w:rsidRDefault="008B5C2F" w:rsidP="000637DE">
      <w:pPr>
        <w:pStyle w:val="FootnoteText"/>
      </w:pPr>
      <w:r>
        <w:rPr>
          <w:rStyle w:val="FootnoteReference"/>
        </w:rPr>
        <w:footnoteRef/>
      </w:r>
      <w:r>
        <w:t xml:space="preserve">.  According to the CAISO’s </w:t>
      </w:r>
      <w:r w:rsidRPr="00336CA6">
        <w:t>201</w:t>
      </w:r>
      <w:r>
        <w:t>5</w:t>
      </w:r>
      <w:r w:rsidRPr="00336CA6">
        <w:t xml:space="preserve"> Annual Report on Market Issues and Performance</w:t>
      </w:r>
      <w:r>
        <w:t xml:space="preserve"> CT A/S revenues from 2012 through 2015 averaged 2.74% of the CT energy market revenue  </w:t>
      </w:r>
      <w:hyperlink r:id="rId3" w:history="1">
        <w:r w:rsidRPr="00570878">
          <w:rPr>
            <w:rStyle w:val="Hyperlink"/>
          </w:rPr>
          <w:t>http://caiso.com/Documents/2015AnnualReportonMarketIssuesandPerformance.pdf</w:t>
        </w:r>
      </w:hyperlink>
      <w:r>
        <w:t xml:space="preserve">  Table 1.10 Financial analysis of a new combustion turbine (2012-2015)</w:t>
      </w:r>
    </w:p>
  </w:footnote>
  <w:footnote w:id="6">
    <w:p w14:paraId="1E4EB5E6" w14:textId="4496400C" w:rsidR="008B5C2F" w:rsidRDefault="008B5C2F" w:rsidP="00CC3913">
      <w:pPr>
        <w:pStyle w:val="FootnoteText"/>
      </w:pPr>
      <w:r>
        <w:rPr>
          <w:rStyle w:val="FootnoteReference"/>
        </w:rPr>
        <w:footnoteRef/>
      </w:r>
      <w:r>
        <w:t xml:space="preserve"> The market calibration factor is used to adjust the energy market prices to a level each year such that a new CCGT would not over or under collect its return on and of capital from the energy market margins, and is described in more detail in the energy market section.</w:t>
      </w:r>
    </w:p>
  </w:footnote>
  <w:footnote w:id="7">
    <w:p w14:paraId="11F94B1C" w14:textId="77777777" w:rsidR="008B5C2F" w:rsidRDefault="008B5C2F" w:rsidP="000145D0">
      <w:pPr>
        <w:pStyle w:val="FootnoteText"/>
      </w:pPr>
      <w:r>
        <w:rPr>
          <w:rStyle w:val="FootnoteReference"/>
        </w:rPr>
        <w:footnoteRef/>
      </w:r>
      <w:r>
        <w:t xml:space="preserve"> ISO conditions assume 59ºF, 60% relative humidity, and elevation at sea level.</w:t>
      </w:r>
    </w:p>
  </w:footnote>
  <w:footnote w:id="8">
    <w:p w14:paraId="23C3277F" w14:textId="77777777" w:rsidR="008B5C2F" w:rsidRDefault="008B5C2F">
      <w:pPr>
        <w:pStyle w:val="FootnoteText"/>
      </w:pPr>
      <w:r>
        <w:rPr>
          <w:rStyle w:val="FootnoteReference"/>
        </w:rPr>
        <w:footnoteRef/>
      </w:r>
      <w:r>
        <w:t xml:space="preserve"> See </w:t>
      </w:r>
      <w:r>
        <w:rPr>
          <w:lang w:val="fr-FR"/>
        </w:rPr>
        <w:t xml:space="preserve">D.10-06-036 OP 6b, and the 2012 Final RA Guide at </w:t>
      </w:r>
      <w:hyperlink r:id="rId4" w:history="1">
        <w:r>
          <w:rPr>
            <w:rStyle w:val="Hyperlink"/>
          </w:rPr>
          <w:t>http://www.cpuc.ca.gov/PUC/energy/Procurement/RA/ra_compliance_materials.htm</w:t>
        </w:r>
      </w:hyperlink>
    </w:p>
  </w:footnote>
  <w:footnote w:id="9">
    <w:p w14:paraId="2674131D" w14:textId="3EEB0B85" w:rsidR="008B5C2F" w:rsidRDefault="008B5C2F">
      <w:pPr>
        <w:pStyle w:val="FootnoteText"/>
      </w:pPr>
      <w:r>
        <w:rPr>
          <w:rStyle w:val="FootnoteReference"/>
        </w:rPr>
        <w:footnoteRef/>
      </w:r>
      <w:r>
        <w:t xml:space="preserve"> </w:t>
      </w:r>
      <w:hyperlink r:id="rId5" w:history="1">
        <w:r w:rsidRPr="00952775">
          <w:rPr>
            <w:rStyle w:val="Hyperlink"/>
          </w:rPr>
          <w:t>https://ethree.com/public_projects/recap.php</w:t>
        </w:r>
      </w:hyperlink>
      <w:r>
        <w:t xml:space="preserve"> </w:t>
      </w:r>
    </w:p>
  </w:footnote>
  <w:footnote w:id="10">
    <w:p w14:paraId="10CF0111" w14:textId="6668F1B8" w:rsidR="008B5C2F" w:rsidRDefault="008B5C2F" w:rsidP="00F03153">
      <w:pPr>
        <w:pStyle w:val="FootnoteText"/>
      </w:pPr>
      <w:r>
        <w:rPr>
          <w:rStyle w:val="FootnoteReference"/>
        </w:rPr>
        <w:footnoteRef/>
      </w:r>
      <w:hyperlink r:id="rId6" w:history="1">
        <w:r w:rsidRPr="00570878">
          <w:rPr>
            <w:rStyle w:val="Hyperlink"/>
          </w:rPr>
          <w:t>http://caiso.com/Documents/2015AnnualReportonMarketIssuesandPerformance.pdf</w:t>
        </w:r>
      </w:hyperlink>
      <w:r>
        <w:t xml:space="preserve">  p. 9</w:t>
      </w:r>
    </w:p>
  </w:footnote>
  <w:footnote w:id="11">
    <w:p w14:paraId="7B2CFD53" w14:textId="37ABE121" w:rsidR="008B5C2F" w:rsidRDefault="008B5C2F">
      <w:pPr>
        <w:pStyle w:val="FootnoteText"/>
      </w:pPr>
      <w:r>
        <w:rPr>
          <w:rStyle w:val="FootnoteReference"/>
        </w:rPr>
        <w:footnoteRef/>
      </w:r>
      <w:r>
        <w:t xml:space="preserve"> While the updated allocation factors are superior to the prior values, they are not substitutes or replacements for the work that utilities are currently undertaking as part of the DRP proceeding.  These allocation factors are simulations based on a limited number of 2010 circuit and substation load patterns.  Actual loading for a specific local distribution area within a climate zone could vary significantly from the loading assumed herein.  Moreover, the IOUs may develop alternate methods for determining the peak contribution of distributed energy resources.</w:t>
      </w:r>
    </w:p>
  </w:footnote>
  <w:footnote w:id="12">
    <w:p w14:paraId="4F5E7A3A" w14:textId="5CF83992" w:rsidR="008B5C2F" w:rsidRDefault="008B5C2F">
      <w:pPr>
        <w:pStyle w:val="FootnoteText"/>
      </w:pPr>
      <w:r>
        <w:rPr>
          <w:rStyle w:val="FootnoteReference"/>
        </w:rPr>
        <w:footnoteRef/>
      </w:r>
      <w:r>
        <w:t xml:space="preserve"> The complete list of regression variables and model fit can be found in the Appendix.</w:t>
      </w:r>
    </w:p>
  </w:footnote>
  <w:footnote w:id="13">
    <w:p w14:paraId="034E4BC5" w14:textId="1FAE8848" w:rsidR="008B5C2F" w:rsidRDefault="008B5C2F">
      <w:pPr>
        <w:pStyle w:val="FootnoteText"/>
      </w:pPr>
      <w:r>
        <w:rPr>
          <w:rStyle w:val="FootnoteReference"/>
        </w:rPr>
        <w:footnoteRef/>
      </w:r>
      <w:r>
        <w:t xml:space="preserve"> The environmental cost separates out the cost of CO2.  Costs for NOx and PM-10 are typically minimal for natural gas units, and those costs have not been separated out from the energy component.</w:t>
      </w:r>
    </w:p>
  </w:footnote>
  <w:footnote w:id="14">
    <w:p w14:paraId="2B8AB5FB" w14:textId="77777777" w:rsidR="008B5C2F" w:rsidRDefault="008B5C2F" w:rsidP="00273CE0">
      <w:pPr>
        <w:pStyle w:val="FootnoteText"/>
      </w:pPr>
      <w:r>
        <w:rPr>
          <w:rStyle w:val="FootnoteReference"/>
        </w:rPr>
        <w:footnoteRef/>
      </w:r>
      <w:r>
        <w:t xml:space="preserve">  More information about the use of non-energy benefits to evaluate Low Income programs can be found in the revised final report </w:t>
      </w:r>
      <w:proofErr w:type="gramStart"/>
      <w:r>
        <w:t xml:space="preserve">“ </w:t>
      </w:r>
      <w:r w:rsidRPr="3095E0BA">
        <w:rPr>
          <w:i/>
          <w:iCs/>
        </w:rPr>
        <w:t>Non</w:t>
      </w:r>
      <w:proofErr w:type="gramEnd"/>
      <w:r w:rsidRPr="3095E0BA">
        <w:rPr>
          <w:i/>
          <w:iCs/>
        </w:rPr>
        <w:t xml:space="preserve">-Energy Benefits:  Status, Findings, Next Steps, and  Implications for Low Income Program Analyses in </w:t>
      </w:r>
      <w:smartTag w:uri="urn:schemas-microsoft-com:office:smarttags" w:element="place">
        <w:smartTag w:uri="urn:schemas-microsoft-com:office:smarttags" w:element="State">
          <w:r w:rsidRPr="3095E0BA">
            <w:rPr>
              <w:i/>
              <w:iCs/>
            </w:rPr>
            <w:t>California</w:t>
          </w:r>
        </w:smartTag>
      </w:smartTag>
      <w:r>
        <w:t xml:space="preserve">” issued May 11, 2010.  </w:t>
      </w:r>
      <w:hyperlink r:id="rId7" w:history="1">
        <w:r>
          <w:rPr>
            <w:rStyle w:val="Hyperlink"/>
          </w:rPr>
          <w:t>http://www.liob.org/docs/LIEE%20Non-Energy%20Benefits%20Revised%20Report.pdf</w:t>
        </w:r>
      </w:hyperlink>
    </w:p>
  </w:footnote>
  <w:footnote w:id="15">
    <w:p w14:paraId="03741E67" w14:textId="77777777" w:rsidR="008B5C2F" w:rsidRDefault="008B5C2F" w:rsidP="00273CE0">
      <w:pPr>
        <w:pStyle w:val="FootnoteText"/>
      </w:pPr>
      <w:r>
        <w:rPr>
          <w:rStyle w:val="FootnoteReference"/>
        </w:rPr>
        <w:footnoteRef/>
      </w:r>
      <w:r>
        <w:t xml:space="preserve"> </w:t>
      </w:r>
      <w:hyperlink r:id="rId8" w:history="1">
        <w:r w:rsidRPr="003173B4">
          <w:rPr>
            <w:rStyle w:val="Hyperlink"/>
          </w:rPr>
          <w:t>http://www.cpuc.ca.gov/PUC/energy/Energy+Efficiency/EM+and+V/Embedded+Energy+in+Water+Studies1_and_2.htm</w:t>
        </w:r>
      </w:hyperlink>
      <w:r>
        <w:t xml:space="preserve"> </w:t>
      </w:r>
    </w:p>
  </w:footnote>
  <w:footnote w:id="16">
    <w:p w14:paraId="18BEFC15" w14:textId="77777777" w:rsidR="008B5C2F" w:rsidRDefault="008B5C2F" w:rsidP="00273CE0">
      <w:pPr>
        <w:pStyle w:val="FootnoteText"/>
      </w:pPr>
      <w:r>
        <w:rPr>
          <w:rStyle w:val="FootnoteReference"/>
        </w:rPr>
        <w:footnoteRef/>
      </w:r>
      <w:r>
        <w:t xml:space="preserve"> </w:t>
      </w:r>
      <w:r w:rsidRPr="00AC5002">
        <w:t>http://www.ethree.com/public_projects/cpucOEEP.php</w:t>
      </w:r>
    </w:p>
  </w:footnote>
  <w:footnote w:id="17">
    <w:p w14:paraId="1F83E6A7" w14:textId="77777777" w:rsidR="008B5C2F" w:rsidRDefault="008B5C2F" w:rsidP="00602B3F">
      <w:pPr>
        <w:pStyle w:val="FootnoteText"/>
      </w:pPr>
      <w:r>
        <w:rPr>
          <w:rStyle w:val="FootnoteReference"/>
        </w:rPr>
        <w:footnoteRef/>
      </w:r>
      <w:r>
        <w:t xml:space="preserve"> </w:t>
      </w:r>
      <w:r w:rsidRPr="002C1848">
        <w:t>Costs by component could</w:t>
      </w:r>
      <w:r>
        <w:t xml:space="preserve"> be generated by running the export macros with only the desired component set to TRUE in the Dashboard Electricity Components section.</w:t>
      </w:r>
    </w:p>
  </w:footnote>
  <w:footnote w:id="18">
    <w:p w14:paraId="7FF7C209" w14:textId="4035CA46" w:rsidR="008B5C2F" w:rsidRDefault="008B5C2F" w:rsidP="008A6BDD">
      <w:pPr>
        <w:pStyle w:val="FootnoteText"/>
      </w:pPr>
      <w:r w:rsidRPr="008A6BDD">
        <w:rPr>
          <w:rStyle w:val="FootnoteReference"/>
        </w:rPr>
        <w:footnoteRef/>
      </w:r>
      <w:r>
        <w:t xml:space="preserve"> </w:t>
      </w:r>
      <w:hyperlink r:id="rId9" w:history="1">
        <w:r w:rsidRPr="003D7849">
          <w:rPr>
            <w:rStyle w:val="Hyperlink"/>
          </w:rPr>
          <w:t>https://ethree.com/public_projects/recap.php</w:t>
        </w:r>
      </w:hyperlink>
      <w:r>
        <w:t xml:space="preserve"> </w:t>
      </w:r>
    </w:p>
  </w:footnote>
  <w:footnote w:id="19">
    <w:p w14:paraId="0A06069E" w14:textId="77777777" w:rsidR="008B5C2F" w:rsidRDefault="008B5C2F" w:rsidP="008A6BDD">
      <w:pPr>
        <w:pStyle w:val="FootnoteText"/>
      </w:pPr>
      <w:r w:rsidRPr="008A6BDD">
        <w:rPr>
          <w:rStyle w:val="FootnoteReference"/>
        </w:rPr>
        <w:footnoteRef/>
      </w:r>
      <w:r>
        <w:t xml:space="preserve"> </w:t>
      </w:r>
      <w:hyperlink r:id="rId10">
        <w:r w:rsidRPr="008A6BDD">
          <w:rPr>
            <w:rStyle w:val="Hyperlink"/>
          </w:rPr>
          <w:t>http://www.energy.ca.gov/2014publications/CEC-200-2014-003/index.html</w:t>
        </w:r>
      </w:hyperlink>
    </w:p>
    <w:p w14:paraId="67FAB9A5" w14:textId="77777777" w:rsidR="008B5C2F" w:rsidRDefault="008B5C2F" w:rsidP="008A6BD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DE027" w14:textId="60EC19A1" w:rsidR="008B5C2F" w:rsidRDefault="008B5C2F">
    <w:pPr>
      <w:pStyle w:val="Header"/>
    </w:pPr>
    <w:r>
      <w:t>September 11,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B317E"/>
    <w:multiLevelType w:val="hybridMultilevel"/>
    <w:tmpl w:val="CED08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180011"/>
    <w:multiLevelType w:val="hybridMultilevel"/>
    <w:tmpl w:val="5B7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362EB"/>
    <w:multiLevelType w:val="hybridMultilevel"/>
    <w:tmpl w:val="1EC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90033"/>
    <w:multiLevelType w:val="hybridMultilevel"/>
    <w:tmpl w:val="A52ADF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9527C7"/>
    <w:multiLevelType w:val="hybridMultilevel"/>
    <w:tmpl w:val="63C87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17F5E"/>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02DA7"/>
    <w:multiLevelType w:val="hybridMultilevel"/>
    <w:tmpl w:val="23F82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818BF"/>
    <w:multiLevelType w:val="hybridMultilevel"/>
    <w:tmpl w:val="0C1E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A7ABE"/>
    <w:multiLevelType w:val="hybridMultilevel"/>
    <w:tmpl w:val="2272E966"/>
    <w:lvl w:ilvl="0" w:tplc="836A1314">
      <w:start w:val="1"/>
      <w:numFmt w:val="decimal"/>
      <w:lvlText w:val="%1."/>
      <w:lvlJc w:val="left"/>
      <w:pPr>
        <w:ind w:left="720" w:hanging="360"/>
      </w:pPr>
    </w:lvl>
    <w:lvl w:ilvl="1" w:tplc="6478DB7E">
      <w:start w:val="1"/>
      <w:numFmt w:val="lowerLetter"/>
      <w:lvlText w:val="%2."/>
      <w:lvlJc w:val="left"/>
      <w:pPr>
        <w:ind w:left="1440" w:hanging="360"/>
      </w:pPr>
    </w:lvl>
    <w:lvl w:ilvl="2" w:tplc="216440C8">
      <w:start w:val="1"/>
      <w:numFmt w:val="lowerRoman"/>
      <w:lvlText w:val="%3."/>
      <w:lvlJc w:val="right"/>
      <w:pPr>
        <w:ind w:left="2160" w:hanging="180"/>
      </w:pPr>
    </w:lvl>
    <w:lvl w:ilvl="3" w:tplc="BE740872">
      <w:start w:val="1"/>
      <w:numFmt w:val="decimal"/>
      <w:lvlText w:val="%4."/>
      <w:lvlJc w:val="left"/>
      <w:pPr>
        <w:ind w:left="2880" w:hanging="360"/>
      </w:pPr>
    </w:lvl>
    <w:lvl w:ilvl="4" w:tplc="7DF8F022">
      <w:start w:val="1"/>
      <w:numFmt w:val="lowerLetter"/>
      <w:lvlText w:val="%5."/>
      <w:lvlJc w:val="left"/>
      <w:pPr>
        <w:ind w:left="3600" w:hanging="360"/>
      </w:pPr>
    </w:lvl>
    <w:lvl w:ilvl="5" w:tplc="E80CB414">
      <w:start w:val="1"/>
      <w:numFmt w:val="lowerRoman"/>
      <w:lvlText w:val="%6."/>
      <w:lvlJc w:val="right"/>
      <w:pPr>
        <w:ind w:left="4320" w:hanging="180"/>
      </w:pPr>
    </w:lvl>
    <w:lvl w:ilvl="6" w:tplc="D77C5812">
      <w:start w:val="1"/>
      <w:numFmt w:val="decimal"/>
      <w:lvlText w:val="%7."/>
      <w:lvlJc w:val="left"/>
      <w:pPr>
        <w:ind w:left="5040" w:hanging="360"/>
      </w:pPr>
    </w:lvl>
    <w:lvl w:ilvl="7" w:tplc="39BC2C26">
      <w:start w:val="1"/>
      <w:numFmt w:val="lowerLetter"/>
      <w:lvlText w:val="%8."/>
      <w:lvlJc w:val="left"/>
      <w:pPr>
        <w:ind w:left="5760" w:hanging="360"/>
      </w:pPr>
    </w:lvl>
    <w:lvl w:ilvl="8" w:tplc="289AF47A">
      <w:start w:val="1"/>
      <w:numFmt w:val="lowerRoman"/>
      <w:lvlText w:val="%9."/>
      <w:lvlJc w:val="right"/>
      <w:pPr>
        <w:ind w:left="6480" w:hanging="180"/>
      </w:pPr>
    </w:lvl>
  </w:abstractNum>
  <w:abstractNum w:abstractNumId="9" w15:restartNumberingAfterBreak="0">
    <w:nsid w:val="3C2F2152"/>
    <w:multiLevelType w:val="hybridMultilevel"/>
    <w:tmpl w:val="3DD0B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E4E53"/>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F71B0E"/>
    <w:multiLevelType w:val="hybridMultilevel"/>
    <w:tmpl w:val="3CF26F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2"/>
  </w:num>
  <w:num w:numId="4">
    <w:abstractNumId w:val="7"/>
  </w:num>
  <w:num w:numId="5">
    <w:abstractNumId w:val="1"/>
  </w:num>
  <w:num w:numId="6">
    <w:abstractNumId w:val="11"/>
  </w:num>
  <w:num w:numId="7">
    <w:abstractNumId w:val="0"/>
  </w:num>
  <w:num w:numId="8">
    <w:abstractNumId w:val="9"/>
  </w:num>
  <w:num w:numId="9">
    <w:abstractNumId w:val="3"/>
  </w:num>
  <w:num w:numId="10">
    <w:abstractNumId w:val="4"/>
  </w:num>
  <w:num w:numId="11">
    <w:abstractNumId w:val="10"/>
  </w:num>
  <w:num w:numId="12">
    <w:abstractNumId w:val="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75D"/>
    <w:rsid w:val="00003F5F"/>
    <w:rsid w:val="0001237A"/>
    <w:rsid w:val="00012FE3"/>
    <w:rsid w:val="000145D0"/>
    <w:rsid w:val="000201A2"/>
    <w:rsid w:val="00020926"/>
    <w:rsid w:val="0003179A"/>
    <w:rsid w:val="00037DDF"/>
    <w:rsid w:val="00046DA9"/>
    <w:rsid w:val="000514E9"/>
    <w:rsid w:val="00051934"/>
    <w:rsid w:val="00053DCC"/>
    <w:rsid w:val="000561E2"/>
    <w:rsid w:val="000637DE"/>
    <w:rsid w:val="000647F6"/>
    <w:rsid w:val="00074CF9"/>
    <w:rsid w:val="0007763F"/>
    <w:rsid w:val="00087461"/>
    <w:rsid w:val="00087AE6"/>
    <w:rsid w:val="00093B00"/>
    <w:rsid w:val="0009792D"/>
    <w:rsid w:val="00097E23"/>
    <w:rsid w:val="000A2828"/>
    <w:rsid w:val="000B0B1C"/>
    <w:rsid w:val="000B4DFF"/>
    <w:rsid w:val="000B63AA"/>
    <w:rsid w:val="000B6B25"/>
    <w:rsid w:val="000C333A"/>
    <w:rsid w:val="000C7C10"/>
    <w:rsid w:val="000D1A99"/>
    <w:rsid w:val="000E5EF4"/>
    <w:rsid w:val="000F59D7"/>
    <w:rsid w:val="001068CE"/>
    <w:rsid w:val="001120E8"/>
    <w:rsid w:val="0011366A"/>
    <w:rsid w:val="0011488E"/>
    <w:rsid w:val="00115F87"/>
    <w:rsid w:val="001203D6"/>
    <w:rsid w:val="00121E26"/>
    <w:rsid w:val="00127E9A"/>
    <w:rsid w:val="00132655"/>
    <w:rsid w:val="001359AF"/>
    <w:rsid w:val="00137726"/>
    <w:rsid w:val="00142308"/>
    <w:rsid w:val="00144EA9"/>
    <w:rsid w:val="00146FB1"/>
    <w:rsid w:val="00156051"/>
    <w:rsid w:val="00157452"/>
    <w:rsid w:val="00170C89"/>
    <w:rsid w:val="00170CD9"/>
    <w:rsid w:val="00170EEC"/>
    <w:rsid w:val="00185482"/>
    <w:rsid w:val="00186B05"/>
    <w:rsid w:val="001A3790"/>
    <w:rsid w:val="001A3909"/>
    <w:rsid w:val="001A3BB1"/>
    <w:rsid w:val="001A48A4"/>
    <w:rsid w:val="001C372A"/>
    <w:rsid w:val="001C6EE2"/>
    <w:rsid w:val="001C712F"/>
    <w:rsid w:val="001D7980"/>
    <w:rsid w:val="00202CF1"/>
    <w:rsid w:val="00211737"/>
    <w:rsid w:val="00215903"/>
    <w:rsid w:val="00226A94"/>
    <w:rsid w:val="0023104E"/>
    <w:rsid w:val="00233ED0"/>
    <w:rsid w:val="0023663D"/>
    <w:rsid w:val="00247A37"/>
    <w:rsid w:val="002522D1"/>
    <w:rsid w:val="00257B84"/>
    <w:rsid w:val="00273CE0"/>
    <w:rsid w:val="00286D69"/>
    <w:rsid w:val="00290FBB"/>
    <w:rsid w:val="0029180D"/>
    <w:rsid w:val="00293876"/>
    <w:rsid w:val="00293DE3"/>
    <w:rsid w:val="002B05B1"/>
    <w:rsid w:val="002B08BA"/>
    <w:rsid w:val="002B1036"/>
    <w:rsid w:val="002B2A44"/>
    <w:rsid w:val="002B7BDF"/>
    <w:rsid w:val="002C44A4"/>
    <w:rsid w:val="002C5DF7"/>
    <w:rsid w:val="002D1092"/>
    <w:rsid w:val="002D70BF"/>
    <w:rsid w:val="002D7E26"/>
    <w:rsid w:val="002E1620"/>
    <w:rsid w:val="002E5AEA"/>
    <w:rsid w:val="002F0874"/>
    <w:rsid w:val="002F7669"/>
    <w:rsid w:val="003005EF"/>
    <w:rsid w:val="00307F63"/>
    <w:rsid w:val="003173B4"/>
    <w:rsid w:val="00317D00"/>
    <w:rsid w:val="00320920"/>
    <w:rsid w:val="00320BF8"/>
    <w:rsid w:val="003212A1"/>
    <w:rsid w:val="0032234A"/>
    <w:rsid w:val="00324071"/>
    <w:rsid w:val="00325C9D"/>
    <w:rsid w:val="00325EDF"/>
    <w:rsid w:val="003271A2"/>
    <w:rsid w:val="0033103F"/>
    <w:rsid w:val="0033613F"/>
    <w:rsid w:val="00336CA6"/>
    <w:rsid w:val="0034779F"/>
    <w:rsid w:val="003502A7"/>
    <w:rsid w:val="003503C4"/>
    <w:rsid w:val="003507F0"/>
    <w:rsid w:val="00367F45"/>
    <w:rsid w:val="003716BE"/>
    <w:rsid w:val="0037257C"/>
    <w:rsid w:val="003972B0"/>
    <w:rsid w:val="00397CE6"/>
    <w:rsid w:val="003A1773"/>
    <w:rsid w:val="003A245B"/>
    <w:rsid w:val="003A7B2B"/>
    <w:rsid w:val="003A7C92"/>
    <w:rsid w:val="003B43B1"/>
    <w:rsid w:val="003B5BCD"/>
    <w:rsid w:val="003D530F"/>
    <w:rsid w:val="003E39F5"/>
    <w:rsid w:val="003E57FE"/>
    <w:rsid w:val="00406A5F"/>
    <w:rsid w:val="0041260B"/>
    <w:rsid w:val="004148F9"/>
    <w:rsid w:val="00431FEE"/>
    <w:rsid w:val="0043549A"/>
    <w:rsid w:val="00437F8C"/>
    <w:rsid w:val="004439AD"/>
    <w:rsid w:val="004443EC"/>
    <w:rsid w:val="00452851"/>
    <w:rsid w:val="004701E8"/>
    <w:rsid w:val="004734C7"/>
    <w:rsid w:val="0048119C"/>
    <w:rsid w:val="00487987"/>
    <w:rsid w:val="0049040A"/>
    <w:rsid w:val="00493988"/>
    <w:rsid w:val="00493DFF"/>
    <w:rsid w:val="004940EF"/>
    <w:rsid w:val="004972F1"/>
    <w:rsid w:val="004A03F6"/>
    <w:rsid w:val="004A41F3"/>
    <w:rsid w:val="004B417D"/>
    <w:rsid w:val="004B7AD6"/>
    <w:rsid w:val="004D1CFA"/>
    <w:rsid w:val="004E790D"/>
    <w:rsid w:val="004F3A81"/>
    <w:rsid w:val="004F7BD4"/>
    <w:rsid w:val="00507D93"/>
    <w:rsid w:val="00510478"/>
    <w:rsid w:val="005127ED"/>
    <w:rsid w:val="00525ABF"/>
    <w:rsid w:val="00527860"/>
    <w:rsid w:val="00533AB1"/>
    <w:rsid w:val="00543945"/>
    <w:rsid w:val="005442EA"/>
    <w:rsid w:val="00552166"/>
    <w:rsid w:val="0055393E"/>
    <w:rsid w:val="00556BA0"/>
    <w:rsid w:val="00563271"/>
    <w:rsid w:val="0056388C"/>
    <w:rsid w:val="005718C1"/>
    <w:rsid w:val="00576677"/>
    <w:rsid w:val="00576FA4"/>
    <w:rsid w:val="00580A9E"/>
    <w:rsid w:val="00580D09"/>
    <w:rsid w:val="005927B2"/>
    <w:rsid w:val="005A1FFC"/>
    <w:rsid w:val="005A20A3"/>
    <w:rsid w:val="005C714D"/>
    <w:rsid w:val="005D10AA"/>
    <w:rsid w:val="005D270E"/>
    <w:rsid w:val="005F3B80"/>
    <w:rsid w:val="005F5AE5"/>
    <w:rsid w:val="00602B3F"/>
    <w:rsid w:val="00603D60"/>
    <w:rsid w:val="0061143A"/>
    <w:rsid w:val="006119AF"/>
    <w:rsid w:val="00624CD1"/>
    <w:rsid w:val="00625313"/>
    <w:rsid w:val="00637C2D"/>
    <w:rsid w:val="006430CC"/>
    <w:rsid w:val="00650236"/>
    <w:rsid w:val="00651754"/>
    <w:rsid w:val="00651C4D"/>
    <w:rsid w:val="00652ADA"/>
    <w:rsid w:val="00662708"/>
    <w:rsid w:val="00664090"/>
    <w:rsid w:val="00674B29"/>
    <w:rsid w:val="00681C76"/>
    <w:rsid w:val="006A0C88"/>
    <w:rsid w:val="006A7ED2"/>
    <w:rsid w:val="006B2392"/>
    <w:rsid w:val="006B2FE4"/>
    <w:rsid w:val="006B7047"/>
    <w:rsid w:val="006C62DE"/>
    <w:rsid w:val="006D1F76"/>
    <w:rsid w:val="006D288E"/>
    <w:rsid w:val="006D77E2"/>
    <w:rsid w:val="006E3A3D"/>
    <w:rsid w:val="006E704E"/>
    <w:rsid w:val="00701197"/>
    <w:rsid w:val="007049A9"/>
    <w:rsid w:val="007072C7"/>
    <w:rsid w:val="007072E1"/>
    <w:rsid w:val="00710799"/>
    <w:rsid w:val="00712F5C"/>
    <w:rsid w:val="00713802"/>
    <w:rsid w:val="00717DAC"/>
    <w:rsid w:val="00722D29"/>
    <w:rsid w:val="007369CD"/>
    <w:rsid w:val="00740E3A"/>
    <w:rsid w:val="0074491A"/>
    <w:rsid w:val="0076540A"/>
    <w:rsid w:val="0076740E"/>
    <w:rsid w:val="007770E0"/>
    <w:rsid w:val="0078015E"/>
    <w:rsid w:val="007849CF"/>
    <w:rsid w:val="007876A4"/>
    <w:rsid w:val="007A095A"/>
    <w:rsid w:val="007A19C3"/>
    <w:rsid w:val="007A589B"/>
    <w:rsid w:val="007C0543"/>
    <w:rsid w:val="007D3D67"/>
    <w:rsid w:val="007E2F86"/>
    <w:rsid w:val="007F2179"/>
    <w:rsid w:val="008018EC"/>
    <w:rsid w:val="00801BE4"/>
    <w:rsid w:val="0080581A"/>
    <w:rsid w:val="008108D0"/>
    <w:rsid w:val="00813981"/>
    <w:rsid w:val="00817739"/>
    <w:rsid w:val="00820A57"/>
    <w:rsid w:val="00826BD1"/>
    <w:rsid w:val="0083579C"/>
    <w:rsid w:val="00836907"/>
    <w:rsid w:val="00844616"/>
    <w:rsid w:val="00856BC0"/>
    <w:rsid w:val="0086014F"/>
    <w:rsid w:val="00866B30"/>
    <w:rsid w:val="00874210"/>
    <w:rsid w:val="0088397B"/>
    <w:rsid w:val="0088454A"/>
    <w:rsid w:val="008A5607"/>
    <w:rsid w:val="008A562A"/>
    <w:rsid w:val="008A6BDD"/>
    <w:rsid w:val="008B0D10"/>
    <w:rsid w:val="008B5C2F"/>
    <w:rsid w:val="008C24E1"/>
    <w:rsid w:val="008C2DEB"/>
    <w:rsid w:val="008D1B33"/>
    <w:rsid w:val="008D58D2"/>
    <w:rsid w:val="008D6145"/>
    <w:rsid w:val="008E0233"/>
    <w:rsid w:val="008E2205"/>
    <w:rsid w:val="008F0CAB"/>
    <w:rsid w:val="00902AE5"/>
    <w:rsid w:val="00903B6C"/>
    <w:rsid w:val="009170BC"/>
    <w:rsid w:val="009208B9"/>
    <w:rsid w:val="009245D9"/>
    <w:rsid w:val="00925DA2"/>
    <w:rsid w:val="00927D81"/>
    <w:rsid w:val="00930109"/>
    <w:rsid w:val="009336FE"/>
    <w:rsid w:val="00937042"/>
    <w:rsid w:val="00951EFF"/>
    <w:rsid w:val="009527DB"/>
    <w:rsid w:val="00953720"/>
    <w:rsid w:val="00955E18"/>
    <w:rsid w:val="0096316E"/>
    <w:rsid w:val="00965806"/>
    <w:rsid w:val="0097348C"/>
    <w:rsid w:val="00980059"/>
    <w:rsid w:val="009931CB"/>
    <w:rsid w:val="009A27D1"/>
    <w:rsid w:val="009A560E"/>
    <w:rsid w:val="009B0419"/>
    <w:rsid w:val="009B1072"/>
    <w:rsid w:val="009D7D0D"/>
    <w:rsid w:val="009F2F10"/>
    <w:rsid w:val="00A00333"/>
    <w:rsid w:val="00A05C18"/>
    <w:rsid w:val="00A14622"/>
    <w:rsid w:val="00A15EAC"/>
    <w:rsid w:val="00A33D4E"/>
    <w:rsid w:val="00A3513A"/>
    <w:rsid w:val="00A35A53"/>
    <w:rsid w:val="00A43D6D"/>
    <w:rsid w:val="00A701FB"/>
    <w:rsid w:val="00A72318"/>
    <w:rsid w:val="00A80DF9"/>
    <w:rsid w:val="00A92D9D"/>
    <w:rsid w:val="00A93E2C"/>
    <w:rsid w:val="00A94233"/>
    <w:rsid w:val="00AB32AB"/>
    <w:rsid w:val="00AC01B7"/>
    <w:rsid w:val="00AC3D95"/>
    <w:rsid w:val="00AC5002"/>
    <w:rsid w:val="00AD0398"/>
    <w:rsid w:val="00AD07EB"/>
    <w:rsid w:val="00AD41AB"/>
    <w:rsid w:val="00AE1244"/>
    <w:rsid w:val="00AE63A1"/>
    <w:rsid w:val="00AE64A3"/>
    <w:rsid w:val="00B01953"/>
    <w:rsid w:val="00B06201"/>
    <w:rsid w:val="00B1567E"/>
    <w:rsid w:val="00B16E01"/>
    <w:rsid w:val="00B1745D"/>
    <w:rsid w:val="00B230A8"/>
    <w:rsid w:val="00B30BED"/>
    <w:rsid w:val="00B424C5"/>
    <w:rsid w:val="00B43108"/>
    <w:rsid w:val="00B46A3B"/>
    <w:rsid w:val="00B5010C"/>
    <w:rsid w:val="00B6042B"/>
    <w:rsid w:val="00B71A17"/>
    <w:rsid w:val="00B73B76"/>
    <w:rsid w:val="00B82BCB"/>
    <w:rsid w:val="00B845D1"/>
    <w:rsid w:val="00B84DBC"/>
    <w:rsid w:val="00B86B31"/>
    <w:rsid w:val="00BA629B"/>
    <w:rsid w:val="00BB05C1"/>
    <w:rsid w:val="00BB17CA"/>
    <w:rsid w:val="00BB533C"/>
    <w:rsid w:val="00BC03B9"/>
    <w:rsid w:val="00BD1BAD"/>
    <w:rsid w:val="00BD3FAC"/>
    <w:rsid w:val="00BE7E5F"/>
    <w:rsid w:val="00BF5652"/>
    <w:rsid w:val="00C03B4C"/>
    <w:rsid w:val="00C04748"/>
    <w:rsid w:val="00C04D38"/>
    <w:rsid w:val="00C211BF"/>
    <w:rsid w:val="00C214EF"/>
    <w:rsid w:val="00C23FF7"/>
    <w:rsid w:val="00C40E73"/>
    <w:rsid w:val="00C5599B"/>
    <w:rsid w:val="00C62D91"/>
    <w:rsid w:val="00C746DD"/>
    <w:rsid w:val="00C84EB7"/>
    <w:rsid w:val="00C865C8"/>
    <w:rsid w:val="00C920DD"/>
    <w:rsid w:val="00C97CE1"/>
    <w:rsid w:val="00CA07A8"/>
    <w:rsid w:val="00CA1124"/>
    <w:rsid w:val="00CB27F2"/>
    <w:rsid w:val="00CC3913"/>
    <w:rsid w:val="00CC5EF2"/>
    <w:rsid w:val="00CC641F"/>
    <w:rsid w:val="00CC6E82"/>
    <w:rsid w:val="00CC71B3"/>
    <w:rsid w:val="00CD0E8C"/>
    <w:rsid w:val="00CD12B1"/>
    <w:rsid w:val="00CD6FA3"/>
    <w:rsid w:val="00CE1B8E"/>
    <w:rsid w:val="00CE3526"/>
    <w:rsid w:val="00CE4A28"/>
    <w:rsid w:val="00D00104"/>
    <w:rsid w:val="00D05611"/>
    <w:rsid w:val="00D10CCD"/>
    <w:rsid w:val="00D12EFA"/>
    <w:rsid w:val="00D2062C"/>
    <w:rsid w:val="00D20834"/>
    <w:rsid w:val="00D31D92"/>
    <w:rsid w:val="00D422C7"/>
    <w:rsid w:val="00D44EEC"/>
    <w:rsid w:val="00D52504"/>
    <w:rsid w:val="00D57B55"/>
    <w:rsid w:val="00D628AA"/>
    <w:rsid w:val="00D62A0A"/>
    <w:rsid w:val="00D62E70"/>
    <w:rsid w:val="00D75AAE"/>
    <w:rsid w:val="00D8245C"/>
    <w:rsid w:val="00D84845"/>
    <w:rsid w:val="00D84A96"/>
    <w:rsid w:val="00DA6C95"/>
    <w:rsid w:val="00DB3E9A"/>
    <w:rsid w:val="00DB516E"/>
    <w:rsid w:val="00DC046E"/>
    <w:rsid w:val="00DC3164"/>
    <w:rsid w:val="00DC351D"/>
    <w:rsid w:val="00DC46F5"/>
    <w:rsid w:val="00DC492E"/>
    <w:rsid w:val="00DD325E"/>
    <w:rsid w:val="00DD7B49"/>
    <w:rsid w:val="00DE2AA1"/>
    <w:rsid w:val="00DE2C3B"/>
    <w:rsid w:val="00DE2F52"/>
    <w:rsid w:val="00DE3966"/>
    <w:rsid w:val="00DF0579"/>
    <w:rsid w:val="00DF468C"/>
    <w:rsid w:val="00E018B3"/>
    <w:rsid w:val="00E05181"/>
    <w:rsid w:val="00E14826"/>
    <w:rsid w:val="00E227FC"/>
    <w:rsid w:val="00E412A9"/>
    <w:rsid w:val="00E4311E"/>
    <w:rsid w:val="00E439E8"/>
    <w:rsid w:val="00E51049"/>
    <w:rsid w:val="00E606BB"/>
    <w:rsid w:val="00E6364B"/>
    <w:rsid w:val="00E71404"/>
    <w:rsid w:val="00E754D2"/>
    <w:rsid w:val="00E76191"/>
    <w:rsid w:val="00E843E1"/>
    <w:rsid w:val="00E84823"/>
    <w:rsid w:val="00E94637"/>
    <w:rsid w:val="00EA4F73"/>
    <w:rsid w:val="00EB0C6D"/>
    <w:rsid w:val="00EC16D7"/>
    <w:rsid w:val="00EC1B91"/>
    <w:rsid w:val="00ED1495"/>
    <w:rsid w:val="00EE6B38"/>
    <w:rsid w:val="00EF1053"/>
    <w:rsid w:val="00EF385A"/>
    <w:rsid w:val="00EF67F4"/>
    <w:rsid w:val="00EF7AB7"/>
    <w:rsid w:val="00F03153"/>
    <w:rsid w:val="00F139BD"/>
    <w:rsid w:val="00F148D5"/>
    <w:rsid w:val="00F150F9"/>
    <w:rsid w:val="00F162F5"/>
    <w:rsid w:val="00F1761F"/>
    <w:rsid w:val="00F214CF"/>
    <w:rsid w:val="00F236C7"/>
    <w:rsid w:val="00F24C1E"/>
    <w:rsid w:val="00F25C27"/>
    <w:rsid w:val="00F26268"/>
    <w:rsid w:val="00F27749"/>
    <w:rsid w:val="00F30B63"/>
    <w:rsid w:val="00F30C71"/>
    <w:rsid w:val="00F32DFA"/>
    <w:rsid w:val="00F50305"/>
    <w:rsid w:val="00F50DD6"/>
    <w:rsid w:val="00F63CB3"/>
    <w:rsid w:val="00F72427"/>
    <w:rsid w:val="00F75859"/>
    <w:rsid w:val="00F7589E"/>
    <w:rsid w:val="00F82C30"/>
    <w:rsid w:val="00FA0D3B"/>
    <w:rsid w:val="00FA6723"/>
    <w:rsid w:val="00FB5B8E"/>
    <w:rsid w:val="00FC159A"/>
    <w:rsid w:val="00FC31B1"/>
    <w:rsid w:val="00FC5D62"/>
    <w:rsid w:val="00FC7081"/>
    <w:rsid w:val="00FD06E9"/>
    <w:rsid w:val="00FD163B"/>
    <w:rsid w:val="00FD2417"/>
    <w:rsid w:val="00FE3FAE"/>
    <w:rsid w:val="00FE7DC8"/>
    <w:rsid w:val="00FF2F0D"/>
    <w:rsid w:val="00FF3E9A"/>
    <w:rsid w:val="00FF4C69"/>
    <w:rsid w:val="00FF675D"/>
    <w:rsid w:val="01087E66"/>
    <w:rsid w:val="011804CA"/>
    <w:rsid w:val="0192AD6E"/>
    <w:rsid w:val="02581B35"/>
    <w:rsid w:val="02BCABCC"/>
    <w:rsid w:val="02D57EEA"/>
    <w:rsid w:val="030737D0"/>
    <w:rsid w:val="0336CFFC"/>
    <w:rsid w:val="04257529"/>
    <w:rsid w:val="043C1CE1"/>
    <w:rsid w:val="04672EBF"/>
    <w:rsid w:val="04E158B7"/>
    <w:rsid w:val="0501B362"/>
    <w:rsid w:val="0517B396"/>
    <w:rsid w:val="054143EB"/>
    <w:rsid w:val="0550F61F"/>
    <w:rsid w:val="059707EE"/>
    <w:rsid w:val="05DA9323"/>
    <w:rsid w:val="067EAF76"/>
    <w:rsid w:val="06A5B8AB"/>
    <w:rsid w:val="06D974C3"/>
    <w:rsid w:val="06E2600E"/>
    <w:rsid w:val="078510A7"/>
    <w:rsid w:val="07967B52"/>
    <w:rsid w:val="07A19A9E"/>
    <w:rsid w:val="083612AE"/>
    <w:rsid w:val="08DBACB0"/>
    <w:rsid w:val="08E4997C"/>
    <w:rsid w:val="09F81006"/>
    <w:rsid w:val="09FFC427"/>
    <w:rsid w:val="0A8740F7"/>
    <w:rsid w:val="0AD11C60"/>
    <w:rsid w:val="0AF07EAD"/>
    <w:rsid w:val="0B29B844"/>
    <w:rsid w:val="0B3DB3A0"/>
    <w:rsid w:val="0B69799C"/>
    <w:rsid w:val="0BBD0E17"/>
    <w:rsid w:val="0C037688"/>
    <w:rsid w:val="0C0E0D43"/>
    <w:rsid w:val="0C1D08FB"/>
    <w:rsid w:val="0C68D290"/>
    <w:rsid w:val="0C906926"/>
    <w:rsid w:val="0C9BFCC9"/>
    <w:rsid w:val="0CE1E027"/>
    <w:rsid w:val="0D130F2A"/>
    <w:rsid w:val="0D366BC7"/>
    <w:rsid w:val="0D7B296A"/>
    <w:rsid w:val="0E316727"/>
    <w:rsid w:val="0E56B703"/>
    <w:rsid w:val="0F2AC5D4"/>
    <w:rsid w:val="0FACACDF"/>
    <w:rsid w:val="102CAC07"/>
    <w:rsid w:val="10D2FEA0"/>
    <w:rsid w:val="10EC0ED0"/>
    <w:rsid w:val="1124BE9D"/>
    <w:rsid w:val="11682004"/>
    <w:rsid w:val="122D49B8"/>
    <w:rsid w:val="1258F60B"/>
    <w:rsid w:val="1285F18B"/>
    <w:rsid w:val="12C13018"/>
    <w:rsid w:val="12E2BA0A"/>
    <w:rsid w:val="14BCF539"/>
    <w:rsid w:val="15C04941"/>
    <w:rsid w:val="15F3D8AC"/>
    <w:rsid w:val="15F700D0"/>
    <w:rsid w:val="17562FED"/>
    <w:rsid w:val="17C1CD6C"/>
    <w:rsid w:val="17C45E1D"/>
    <w:rsid w:val="18005959"/>
    <w:rsid w:val="1851181F"/>
    <w:rsid w:val="191FBD81"/>
    <w:rsid w:val="194FBAF3"/>
    <w:rsid w:val="19578B34"/>
    <w:rsid w:val="19DD4467"/>
    <w:rsid w:val="1ADBD408"/>
    <w:rsid w:val="1B4CFB0E"/>
    <w:rsid w:val="1B540A3B"/>
    <w:rsid w:val="1C3337B9"/>
    <w:rsid w:val="1C662C29"/>
    <w:rsid w:val="1CFD8BA0"/>
    <w:rsid w:val="1D70FB7B"/>
    <w:rsid w:val="1D967738"/>
    <w:rsid w:val="1E4BC8E2"/>
    <w:rsid w:val="1E554E2D"/>
    <w:rsid w:val="1E57EA85"/>
    <w:rsid w:val="1F1357A1"/>
    <w:rsid w:val="2068CF52"/>
    <w:rsid w:val="2072C5D2"/>
    <w:rsid w:val="20A79D21"/>
    <w:rsid w:val="20C8A259"/>
    <w:rsid w:val="20CDEBBD"/>
    <w:rsid w:val="21C93694"/>
    <w:rsid w:val="22C612E7"/>
    <w:rsid w:val="23858FDF"/>
    <w:rsid w:val="23BBA6DA"/>
    <w:rsid w:val="2478941C"/>
    <w:rsid w:val="24E1C480"/>
    <w:rsid w:val="25219DA9"/>
    <w:rsid w:val="2528ADE2"/>
    <w:rsid w:val="25651DA7"/>
    <w:rsid w:val="25925690"/>
    <w:rsid w:val="25A58436"/>
    <w:rsid w:val="25C2119A"/>
    <w:rsid w:val="25ED4B98"/>
    <w:rsid w:val="263D5B58"/>
    <w:rsid w:val="267EB7E2"/>
    <w:rsid w:val="2693F1C5"/>
    <w:rsid w:val="269F9AF4"/>
    <w:rsid w:val="26BD6075"/>
    <w:rsid w:val="28586219"/>
    <w:rsid w:val="298708D5"/>
    <w:rsid w:val="29B1DBA4"/>
    <w:rsid w:val="29B45BED"/>
    <w:rsid w:val="29DB315B"/>
    <w:rsid w:val="2A0B41D1"/>
    <w:rsid w:val="2A1C32A5"/>
    <w:rsid w:val="2A86E694"/>
    <w:rsid w:val="2B260064"/>
    <w:rsid w:val="2BCC55FA"/>
    <w:rsid w:val="2BDB6321"/>
    <w:rsid w:val="2BE6A0B9"/>
    <w:rsid w:val="2C462462"/>
    <w:rsid w:val="2C8A5904"/>
    <w:rsid w:val="2D098C3D"/>
    <w:rsid w:val="2D648C52"/>
    <w:rsid w:val="2D6CC7F8"/>
    <w:rsid w:val="2D70944C"/>
    <w:rsid w:val="2DCCF5AD"/>
    <w:rsid w:val="2E316FEF"/>
    <w:rsid w:val="2E7BBC42"/>
    <w:rsid w:val="2E87AA4B"/>
    <w:rsid w:val="2EB5CD45"/>
    <w:rsid w:val="2FCE3C6F"/>
    <w:rsid w:val="302F6643"/>
    <w:rsid w:val="3095E0BA"/>
    <w:rsid w:val="30EC6D2E"/>
    <w:rsid w:val="30F319B6"/>
    <w:rsid w:val="31372397"/>
    <w:rsid w:val="3171E9C4"/>
    <w:rsid w:val="31AB0B47"/>
    <w:rsid w:val="31E2BFD7"/>
    <w:rsid w:val="3272528B"/>
    <w:rsid w:val="32DA490B"/>
    <w:rsid w:val="32F7D420"/>
    <w:rsid w:val="333BB6C3"/>
    <w:rsid w:val="3397BAC1"/>
    <w:rsid w:val="33D0320E"/>
    <w:rsid w:val="3415F3CC"/>
    <w:rsid w:val="34C9CF8C"/>
    <w:rsid w:val="34D39BD1"/>
    <w:rsid w:val="34F7F583"/>
    <w:rsid w:val="35FF4D91"/>
    <w:rsid w:val="36E42A9B"/>
    <w:rsid w:val="37120796"/>
    <w:rsid w:val="3720CF5D"/>
    <w:rsid w:val="37262C32"/>
    <w:rsid w:val="3761262B"/>
    <w:rsid w:val="37D802BE"/>
    <w:rsid w:val="38632E9D"/>
    <w:rsid w:val="38643851"/>
    <w:rsid w:val="38F4EC60"/>
    <w:rsid w:val="39449FF6"/>
    <w:rsid w:val="397B6B0F"/>
    <w:rsid w:val="398EA8BC"/>
    <w:rsid w:val="3995A6BD"/>
    <w:rsid w:val="39C1F298"/>
    <w:rsid w:val="39F83E66"/>
    <w:rsid w:val="3B2529DD"/>
    <w:rsid w:val="3C0FC5C2"/>
    <w:rsid w:val="3C2459F9"/>
    <w:rsid w:val="3CA85655"/>
    <w:rsid w:val="3CB30EF8"/>
    <w:rsid w:val="3CC595BC"/>
    <w:rsid w:val="3CDB1125"/>
    <w:rsid w:val="3CE276F4"/>
    <w:rsid w:val="3D64678B"/>
    <w:rsid w:val="3DD84BA4"/>
    <w:rsid w:val="3E1120AD"/>
    <w:rsid w:val="3E1BA881"/>
    <w:rsid w:val="3E655794"/>
    <w:rsid w:val="3E8E639F"/>
    <w:rsid w:val="3E96C57C"/>
    <w:rsid w:val="3EC6CF88"/>
    <w:rsid w:val="3F3D5780"/>
    <w:rsid w:val="3F55EA67"/>
    <w:rsid w:val="3F929ABC"/>
    <w:rsid w:val="400555DA"/>
    <w:rsid w:val="40666927"/>
    <w:rsid w:val="4080830B"/>
    <w:rsid w:val="413677E5"/>
    <w:rsid w:val="414C67E8"/>
    <w:rsid w:val="41A517B2"/>
    <w:rsid w:val="41D85F30"/>
    <w:rsid w:val="42C633DC"/>
    <w:rsid w:val="42D10F44"/>
    <w:rsid w:val="431674EC"/>
    <w:rsid w:val="432A14A4"/>
    <w:rsid w:val="43E9A741"/>
    <w:rsid w:val="447D286F"/>
    <w:rsid w:val="448B5BBB"/>
    <w:rsid w:val="44D1ED6C"/>
    <w:rsid w:val="44F07EA1"/>
    <w:rsid w:val="44FFA002"/>
    <w:rsid w:val="451A10F8"/>
    <w:rsid w:val="45640DAA"/>
    <w:rsid w:val="45F25941"/>
    <w:rsid w:val="46111144"/>
    <w:rsid w:val="4612FEEA"/>
    <w:rsid w:val="46B53AD0"/>
    <w:rsid w:val="48352AEA"/>
    <w:rsid w:val="485CB662"/>
    <w:rsid w:val="486F82CE"/>
    <w:rsid w:val="48773D83"/>
    <w:rsid w:val="48DC47E0"/>
    <w:rsid w:val="48FDF49C"/>
    <w:rsid w:val="4924F73D"/>
    <w:rsid w:val="492AF21E"/>
    <w:rsid w:val="4941E8D8"/>
    <w:rsid w:val="49BC9946"/>
    <w:rsid w:val="4A60B311"/>
    <w:rsid w:val="4A8017BC"/>
    <w:rsid w:val="4B30F5A7"/>
    <w:rsid w:val="4B7BB10F"/>
    <w:rsid w:val="4B8DB956"/>
    <w:rsid w:val="4B9749DB"/>
    <w:rsid w:val="4BF6FE64"/>
    <w:rsid w:val="4C007F81"/>
    <w:rsid w:val="4C086A0A"/>
    <w:rsid w:val="4C3BBB81"/>
    <w:rsid w:val="4CFB6DA8"/>
    <w:rsid w:val="4DC716DB"/>
    <w:rsid w:val="4E3C0921"/>
    <w:rsid w:val="4E9D8373"/>
    <w:rsid w:val="4ECF698C"/>
    <w:rsid w:val="5014A8A9"/>
    <w:rsid w:val="504903AA"/>
    <w:rsid w:val="50BB9A87"/>
    <w:rsid w:val="50C4AE0B"/>
    <w:rsid w:val="50DAAC3D"/>
    <w:rsid w:val="510E9195"/>
    <w:rsid w:val="515AE92A"/>
    <w:rsid w:val="5179ABC5"/>
    <w:rsid w:val="51995454"/>
    <w:rsid w:val="51EFAB56"/>
    <w:rsid w:val="51F6D3BC"/>
    <w:rsid w:val="523190A3"/>
    <w:rsid w:val="5266027F"/>
    <w:rsid w:val="529D8064"/>
    <w:rsid w:val="52D710FC"/>
    <w:rsid w:val="5365D348"/>
    <w:rsid w:val="538CED39"/>
    <w:rsid w:val="53EB8094"/>
    <w:rsid w:val="542F65D8"/>
    <w:rsid w:val="559D7A01"/>
    <w:rsid w:val="55D88296"/>
    <w:rsid w:val="565D58FF"/>
    <w:rsid w:val="56A86C18"/>
    <w:rsid w:val="56BFC27A"/>
    <w:rsid w:val="56C6C07B"/>
    <w:rsid w:val="57010858"/>
    <w:rsid w:val="57E288C2"/>
    <w:rsid w:val="57EA8B78"/>
    <w:rsid w:val="5844988A"/>
    <w:rsid w:val="587D81CD"/>
    <w:rsid w:val="58A26562"/>
    <w:rsid w:val="58E35BE2"/>
    <w:rsid w:val="5989E50D"/>
    <w:rsid w:val="598F8665"/>
    <w:rsid w:val="59C5D031"/>
    <w:rsid w:val="5A4AD89F"/>
    <w:rsid w:val="5AD56FFE"/>
    <w:rsid w:val="5BD6E86E"/>
    <w:rsid w:val="5C23E23D"/>
    <w:rsid w:val="5C2A8A7E"/>
    <w:rsid w:val="5C41FFA1"/>
    <w:rsid w:val="5D26B1D1"/>
    <w:rsid w:val="5D565534"/>
    <w:rsid w:val="5D8B6A77"/>
    <w:rsid w:val="5D92EB5A"/>
    <w:rsid w:val="5D9BB126"/>
    <w:rsid w:val="5DB03B08"/>
    <w:rsid w:val="5E3DF426"/>
    <w:rsid w:val="5E49CAB7"/>
    <w:rsid w:val="5EA42FD1"/>
    <w:rsid w:val="5EBC713F"/>
    <w:rsid w:val="5EC0E201"/>
    <w:rsid w:val="5EC4562F"/>
    <w:rsid w:val="5EF4C03F"/>
    <w:rsid w:val="5EF73D66"/>
    <w:rsid w:val="5F5C2DD7"/>
    <w:rsid w:val="5FD8ABC2"/>
    <w:rsid w:val="5FF3FC8D"/>
    <w:rsid w:val="60156D2A"/>
    <w:rsid w:val="6036B4E3"/>
    <w:rsid w:val="60517B6F"/>
    <w:rsid w:val="608AEB6E"/>
    <w:rsid w:val="60961552"/>
    <w:rsid w:val="60E73124"/>
    <w:rsid w:val="615B3E96"/>
    <w:rsid w:val="6207A5B9"/>
    <w:rsid w:val="62A95F32"/>
    <w:rsid w:val="62CD6308"/>
    <w:rsid w:val="63537273"/>
    <w:rsid w:val="63B5EF78"/>
    <w:rsid w:val="640A206A"/>
    <w:rsid w:val="641D1212"/>
    <w:rsid w:val="649A0295"/>
    <w:rsid w:val="64E1E670"/>
    <w:rsid w:val="6506BF6D"/>
    <w:rsid w:val="650AC115"/>
    <w:rsid w:val="6518B1E0"/>
    <w:rsid w:val="65CF1E94"/>
    <w:rsid w:val="663948A0"/>
    <w:rsid w:val="6679D85E"/>
    <w:rsid w:val="678FC601"/>
    <w:rsid w:val="67BA36CA"/>
    <w:rsid w:val="67D066D2"/>
    <w:rsid w:val="6839749B"/>
    <w:rsid w:val="684E8241"/>
    <w:rsid w:val="69141258"/>
    <w:rsid w:val="6921EF02"/>
    <w:rsid w:val="69271397"/>
    <w:rsid w:val="6969A998"/>
    <w:rsid w:val="6988F8FA"/>
    <w:rsid w:val="69FA55F3"/>
    <w:rsid w:val="6A6D1F45"/>
    <w:rsid w:val="6A7BD25D"/>
    <w:rsid w:val="6A7F16D0"/>
    <w:rsid w:val="6BDDDCCD"/>
    <w:rsid w:val="6BF81976"/>
    <w:rsid w:val="6C81CD12"/>
    <w:rsid w:val="6C9ADC1D"/>
    <w:rsid w:val="6D1F0109"/>
    <w:rsid w:val="6D6352EB"/>
    <w:rsid w:val="6D85341E"/>
    <w:rsid w:val="6D869F7C"/>
    <w:rsid w:val="6DBA0E94"/>
    <w:rsid w:val="6E38BAE7"/>
    <w:rsid w:val="6E3EE9A0"/>
    <w:rsid w:val="6E4D4ABE"/>
    <w:rsid w:val="6F5F72E4"/>
    <w:rsid w:val="6F9B0FE0"/>
    <w:rsid w:val="6FEDE07C"/>
    <w:rsid w:val="701EBFC5"/>
    <w:rsid w:val="70C82298"/>
    <w:rsid w:val="70EE2583"/>
    <w:rsid w:val="71465D1C"/>
    <w:rsid w:val="715EE595"/>
    <w:rsid w:val="716F2FE0"/>
    <w:rsid w:val="71C7B760"/>
    <w:rsid w:val="71D322B1"/>
    <w:rsid w:val="7235951E"/>
    <w:rsid w:val="73220CF7"/>
    <w:rsid w:val="746CB370"/>
    <w:rsid w:val="74EEE699"/>
    <w:rsid w:val="750C1CC8"/>
    <w:rsid w:val="75664574"/>
    <w:rsid w:val="758DF0B9"/>
    <w:rsid w:val="75A7B08E"/>
    <w:rsid w:val="764C2991"/>
    <w:rsid w:val="76C5D7BC"/>
    <w:rsid w:val="775EEB8D"/>
    <w:rsid w:val="77BD5CEC"/>
    <w:rsid w:val="7814C2A1"/>
    <w:rsid w:val="783B2EEF"/>
    <w:rsid w:val="785480FC"/>
    <w:rsid w:val="78B1B3C0"/>
    <w:rsid w:val="78B3B494"/>
    <w:rsid w:val="7A3095AD"/>
    <w:rsid w:val="7AED0FB8"/>
    <w:rsid w:val="7B07CBAC"/>
    <w:rsid w:val="7B863597"/>
    <w:rsid w:val="7B87B3F9"/>
    <w:rsid w:val="7C4BB442"/>
    <w:rsid w:val="7DF55D84"/>
    <w:rsid w:val="7E3A6006"/>
    <w:rsid w:val="7E90EAE0"/>
    <w:rsid w:val="7EBD8CAD"/>
    <w:rsid w:val="7ECC5941"/>
    <w:rsid w:val="7F0F2521"/>
    <w:rsid w:val="7FCEE768"/>
    <w:rsid w:val="7FEED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386FFC58"/>
  <w15:chartTrackingRefBased/>
  <w15:docId w15:val="{BF8B6E7B-3779-4CDF-AF04-54A3554B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5D0"/>
    <w:pPr>
      <w:spacing w:before="180" w:after="180" w:line="360" w:lineRule="auto"/>
    </w:pPr>
    <w:rPr>
      <w:rFonts w:ascii="Calibri" w:hAnsi="Calibri" w:cs="Calibri"/>
      <w:sz w:val="24"/>
      <w:szCs w:val="24"/>
    </w:rPr>
  </w:style>
  <w:style w:type="paragraph" w:styleId="Heading1">
    <w:name w:val="heading 1"/>
    <w:basedOn w:val="Normal"/>
    <w:next w:val="Normal"/>
    <w:link w:val="Heading1Char"/>
    <w:qFormat/>
    <w:rsid w:val="0078015E"/>
    <w:pPr>
      <w:keepNext/>
      <w:spacing w:before="240" w:after="60"/>
      <w:outlineLvl w:val="0"/>
    </w:pPr>
    <w:rPr>
      <w:rFonts w:asciiTheme="minorHAnsi" w:eastAsia="PMingLiU" w:hAnsiTheme="minorHAnsi"/>
      <w:b/>
      <w:bCs/>
      <w:color w:val="034E6E" w:themeColor="accent1"/>
      <w:kern w:val="32"/>
      <w:sz w:val="36"/>
      <w:szCs w:val="32"/>
      <w:lang w:val="x-none"/>
    </w:rPr>
  </w:style>
  <w:style w:type="paragraph" w:styleId="Heading2">
    <w:name w:val="heading 2"/>
    <w:basedOn w:val="Normal"/>
    <w:next w:val="Normal"/>
    <w:link w:val="Heading2Char"/>
    <w:qFormat/>
    <w:rsid w:val="0078015E"/>
    <w:pPr>
      <w:keepNext/>
      <w:pBdr>
        <w:bottom w:val="single" w:sz="4" w:space="1" w:color="034E6E" w:themeColor="accent1"/>
      </w:pBdr>
      <w:spacing w:before="240" w:after="120" w:line="240" w:lineRule="auto"/>
      <w:outlineLvl w:val="1"/>
    </w:pPr>
    <w:rPr>
      <w:rFonts w:asciiTheme="minorHAnsi" w:eastAsia="PMingLiU" w:hAnsiTheme="minorHAnsi" w:cs="Times New Roman"/>
      <w:b/>
      <w:bCs/>
      <w:iCs/>
      <w:color w:val="034E6E" w:themeColor="accent1"/>
      <w:sz w:val="28"/>
      <w:szCs w:val="28"/>
    </w:rPr>
  </w:style>
  <w:style w:type="paragraph" w:styleId="Heading3">
    <w:name w:val="heading 3"/>
    <w:basedOn w:val="Normal"/>
    <w:next w:val="Normal"/>
    <w:link w:val="Heading3Char"/>
    <w:qFormat/>
    <w:rsid w:val="00EF7AB7"/>
    <w:pPr>
      <w:keepNext/>
      <w:spacing w:before="240" w:after="0" w:line="240" w:lineRule="auto"/>
      <w:outlineLvl w:val="2"/>
    </w:pPr>
    <w:rPr>
      <w:rFonts w:ascii="Cambria" w:eastAsia="PMingLiU" w:hAnsi="Cambria" w:cs="Times New Roman"/>
      <w:b/>
      <w:bCs/>
      <w:sz w:val="26"/>
      <w:szCs w:val="26"/>
    </w:rPr>
  </w:style>
  <w:style w:type="paragraph" w:styleId="Heading4">
    <w:name w:val="heading 4"/>
    <w:basedOn w:val="Normal"/>
    <w:next w:val="Normal"/>
    <w:link w:val="Heading4Char"/>
    <w:qFormat/>
    <w:rsid w:val="00831D40"/>
    <w:pPr>
      <w:keepNext/>
      <w:spacing w:before="240" w:after="60"/>
      <w:outlineLvl w:val="3"/>
    </w:pPr>
    <w:rPr>
      <w:rFonts w:eastAsia="PMingLiU"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Footnote Text1 Char,Footnote Text Char Ch,E3 Footnote Text"/>
    <w:basedOn w:val="Normal"/>
    <w:link w:val="FootnoteTextChar1"/>
    <w:uiPriority w:val="99"/>
    <w:semiHidden/>
    <w:qFormat/>
    <w:rsid w:val="00FF16DA"/>
    <w:rPr>
      <w:sz w:val="20"/>
      <w:szCs w:val="20"/>
    </w:rPr>
  </w:style>
  <w:style w:type="character" w:styleId="FootnoteReference">
    <w:name w:val="footnote reference"/>
    <w:aliases w:val="o"/>
    <w:uiPriority w:val="99"/>
    <w:semiHidden/>
    <w:rsid w:val="00FF16DA"/>
    <w:rPr>
      <w:vertAlign w:val="superscript"/>
    </w:rPr>
  </w:style>
  <w:style w:type="paragraph" w:styleId="Header">
    <w:name w:val="header"/>
    <w:basedOn w:val="Normal"/>
    <w:rsid w:val="006E7963"/>
    <w:pPr>
      <w:tabs>
        <w:tab w:val="center" w:pos="4320"/>
        <w:tab w:val="right" w:pos="8640"/>
      </w:tabs>
    </w:pPr>
  </w:style>
  <w:style w:type="paragraph" w:styleId="Footer">
    <w:name w:val="footer"/>
    <w:basedOn w:val="Normal"/>
    <w:link w:val="FooterChar"/>
    <w:uiPriority w:val="99"/>
    <w:rsid w:val="006E7963"/>
    <w:pPr>
      <w:tabs>
        <w:tab w:val="center" w:pos="4320"/>
        <w:tab w:val="right" w:pos="8640"/>
      </w:tabs>
    </w:pPr>
  </w:style>
  <w:style w:type="paragraph" w:styleId="BalloonText">
    <w:name w:val="Balloon Text"/>
    <w:basedOn w:val="Normal"/>
    <w:semiHidden/>
    <w:rsid w:val="00C61722"/>
    <w:rPr>
      <w:rFonts w:ascii="Tahoma" w:hAnsi="Tahoma" w:cs="Tahoma"/>
      <w:sz w:val="16"/>
      <w:szCs w:val="16"/>
    </w:rPr>
  </w:style>
  <w:style w:type="character" w:styleId="CommentReference">
    <w:name w:val="annotation reference"/>
    <w:semiHidden/>
    <w:rsid w:val="002F2072"/>
    <w:rPr>
      <w:sz w:val="16"/>
      <w:szCs w:val="16"/>
    </w:rPr>
  </w:style>
  <w:style w:type="paragraph" w:styleId="CommentText">
    <w:name w:val="annotation text"/>
    <w:basedOn w:val="Normal"/>
    <w:semiHidden/>
    <w:rsid w:val="002F2072"/>
    <w:rPr>
      <w:sz w:val="20"/>
      <w:szCs w:val="20"/>
    </w:rPr>
  </w:style>
  <w:style w:type="paragraph" w:styleId="CommentSubject">
    <w:name w:val="annotation subject"/>
    <w:basedOn w:val="CommentText"/>
    <w:next w:val="CommentText"/>
    <w:semiHidden/>
    <w:rsid w:val="002F2072"/>
    <w:rPr>
      <w:b/>
      <w:bCs/>
    </w:rPr>
  </w:style>
  <w:style w:type="character" w:styleId="PageNumber">
    <w:name w:val="page number"/>
    <w:basedOn w:val="DefaultParagraphFont"/>
    <w:rsid w:val="005146D0"/>
  </w:style>
  <w:style w:type="character" w:customStyle="1" w:styleId="FootnoteTextChar1">
    <w:name w:val="Footnote Text Char1"/>
    <w:aliases w:val="Footnote Text Char Char,Footnote Text1 Char Char,Footnote Text Char Ch Char,E3 Footnote Text Char1"/>
    <w:link w:val="FootnoteText"/>
    <w:rsid w:val="00DB108F"/>
    <w:rPr>
      <w:lang w:val="en-US" w:eastAsia="en-US" w:bidi="ar-SA"/>
    </w:rPr>
  </w:style>
  <w:style w:type="table" w:styleId="TableGrid">
    <w:name w:val="Table Grid"/>
    <w:basedOn w:val="TableNormal"/>
    <w:rsid w:val="009C4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3794B"/>
    <w:rPr>
      <w:color w:val="0000FF"/>
      <w:u w:val="single"/>
    </w:rPr>
  </w:style>
  <w:style w:type="paragraph" w:styleId="NormalWeb">
    <w:name w:val="Normal (Web)"/>
    <w:basedOn w:val="Normal"/>
    <w:rsid w:val="00A110E2"/>
    <w:pPr>
      <w:spacing w:before="100" w:beforeAutospacing="1" w:after="100" w:afterAutospacing="1"/>
    </w:pPr>
    <w:rPr>
      <w:color w:val="000000"/>
    </w:rPr>
  </w:style>
  <w:style w:type="character" w:styleId="Strong">
    <w:name w:val="Strong"/>
    <w:qFormat/>
    <w:rsid w:val="00A110E2"/>
    <w:rPr>
      <w:b/>
      <w:bCs/>
    </w:rPr>
  </w:style>
  <w:style w:type="paragraph" w:customStyle="1" w:styleId="Default">
    <w:name w:val="Default"/>
    <w:rsid w:val="00075BEF"/>
    <w:pPr>
      <w:autoSpaceDE w:val="0"/>
      <w:autoSpaceDN w:val="0"/>
      <w:adjustRightInd w:val="0"/>
    </w:pPr>
    <w:rPr>
      <w:color w:val="000000"/>
      <w:sz w:val="24"/>
      <w:szCs w:val="24"/>
    </w:rPr>
  </w:style>
  <w:style w:type="paragraph" w:styleId="HTMLPreformatted">
    <w:name w:val="HTML Preformatted"/>
    <w:basedOn w:val="Normal"/>
    <w:rsid w:val="002E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SeattleBody">
    <w:name w:val="Seattle Body"/>
    <w:basedOn w:val="Normal"/>
    <w:link w:val="SeattleBodyChar"/>
    <w:rsid w:val="00B141E4"/>
    <w:pPr>
      <w:spacing w:after="240"/>
    </w:pPr>
    <w:rPr>
      <w:rFonts w:ascii="Verdana" w:hAnsi="Verdana"/>
      <w:sz w:val="22"/>
    </w:rPr>
  </w:style>
  <w:style w:type="character" w:customStyle="1" w:styleId="SeattleBodyChar">
    <w:name w:val="Seattle Body Char"/>
    <w:link w:val="SeattleBody"/>
    <w:rsid w:val="00B141E4"/>
    <w:rPr>
      <w:rFonts w:ascii="Verdana" w:hAnsi="Verdana"/>
      <w:sz w:val="22"/>
      <w:szCs w:val="24"/>
      <w:lang w:val="en-US" w:eastAsia="en-US" w:bidi="ar-SA"/>
    </w:rPr>
  </w:style>
  <w:style w:type="paragraph" w:styleId="Caption">
    <w:name w:val="caption"/>
    <w:basedOn w:val="Normal"/>
    <w:next w:val="Normal"/>
    <w:uiPriority w:val="35"/>
    <w:qFormat/>
    <w:rsid w:val="00087461"/>
    <w:pPr>
      <w:keepNext/>
      <w:keepLines/>
      <w:spacing w:before="240" w:line="240" w:lineRule="auto"/>
    </w:pPr>
    <w:rPr>
      <w:b/>
      <w:bCs/>
    </w:rPr>
  </w:style>
  <w:style w:type="character" w:customStyle="1" w:styleId="apple-style-span">
    <w:name w:val="apple-style-span"/>
    <w:basedOn w:val="DefaultParagraphFont"/>
    <w:rsid w:val="00780711"/>
  </w:style>
  <w:style w:type="character" w:customStyle="1" w:styleId="apple-converted-space">
    <w:name w:val="apple-converted-space"/>
    <w:basedOn w:val="DefaultParagraphFont"/>
    <w:rsid w:val="00780711"/>
  </w:style>
  <w:style w:type="character" w:customStyle="1" w:styleId="Heading1Char">
    <w:name w:val="Heading 1 Char"/>
    <w:link w:val="Heading1"/>
    <w:rsid w:val="0078015E"/>
    <w:rPr>
      <w:rFonts w:asciiTheme="minorHAnsi" w:eastAsia="PMingLiU" w:hAnsiTheme="minorHAnsi" w:cs="Calibri"/>
      <w:b/>
      <w:bCs/>
      <w:color w:val="034E6E" w:themeColor="accent1"/>
      <w:kern w:val="32"/>
      <w:sz w:val="36"/>
      <w:szCs w:val="32"/>
      <w:lang w:val="x-none"/>
    </w:rPr>
  </w:style>
  <w:style w:type="character" w:customStyle="1" w:styleId="Heading2Char">
    <w:name w:val="Heading 2 Char"/>
    <w:link w:val="Heading2"/>
    <w:rsid w:val="0078015E"/>
    <w:rPr>
      <w:rFonts w:asciiTheme="minorHAnsi" w:eastAsia="PMingLiU" w:hAnsiTheme="minorHAnsi"/>
      <w:b/>
      <w:bCs/>
      <w:iCs/>
      <w:color w:val="034E6E" w:themeColor="accent1"/>
      <w:sz w:val="28"/>
      <w:szCs w:val="28"/>
    </w:rPr>
  </w:style>
  <w:style w:type="character" w:customStyle="1" w:styleId="Heading3Char">
    <w:name w:val="Heading 3 Char"/>
    <w:link w:val="Heading3"/>
    <w:rsid w:val="00EF7AB7"/>
    <w:rPr>
      <w:rFonts w:ascii="Cambria" w:eastAsia="PMingLiU" w:hAnsi="Cambria"/>
      <w:b/>
      <w:bCs/>
      <w:sz w:val="26"/>
      <w:szCs w:val="26"/>
    </w:rPr>
  </w:style>
  <w:style w:type="paragraph" w:styleId="TOCHeading">
    <w:name w:val="TOC Heading"/>
    <w:basedOn w:val="Heading1"/>
    <w:next w:val="Normal"/>
    <w:uiPriority w:val="39"/>
    <w:qFormat/>
    <w:rsid w:val="00BD6403"/>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FD163B"/>
    <w:pPr>
      <w:tabs>
        <w:tab w:val="right" w:leader="dot" w:pos="9350"/>
      </w:tabs>
      <w:spacing w:before="120" w:after="0" w:line="240" w:lineRule="auto"/>
    </w:pPr>
  </w:style>
  <w:style w:type="paragraph" w:styleId="TOC2">
    <w:name w:val="toc 2"/>
    <w:basedOn w:val="Normal"/>
    <w:next w:val="Normal"/>
    <w:autoRedefine/>
    <w:uiPriority w:val="39"/>
    <w:rsid w:val="00E6364B"/>
    <w:pPr>
      <w:tabs>
        <w:tab w:val="right" w:leader="dot" w:pos="9350"/>
      </w:tabs>
      <w:spacing w:before="120" w:after="0" w:line="240" w:lineRule="auto"/>
      <w:ind w:left="245"/>
    </w:pPr>
  </w:style>
  <w:style w:type="paragraph" w:styleId="TOC3">
    <w:name w:val="toc 3"/>
    <w:basedOn w:val="Normal"/>
    <w:next w:val="Normal"/>
    <w:autoRedefine/>
    <w:uiPriority w:val="39"/>
    <w:rsid w:val="00FD163B"/>
    <w:pPr>
      <w:tabs>
        <w:tab w:val="right" w:leader="dot" w:pos="9350"/>
      </w:tabs>
      <w:spacing w:after="0" w:line="240" w:lineRule="auto"/>
      <w:ind w:left="475"/>
    </w:pPr>
  </w:style>
  <w:style w:type="paragraph" w:customStyle="1" w:styleId="Header4">
    <w:name w:val="Header 4"/>
    <w:basedOn w:val="Normal"/>
    <w:qFormat/>
    <w:rsid w:val="00BD6403"/>
    <w:rPr>
      <w:b/>
    </w:rPr>
  </w:style>
  <w:style w:type="character" w:customStyle="1" w:styleId="Heading4Char">
    <w:name w:val="Heading 4 Char"/>
    <w:link w:val="Heading4"/>
    <w:rsid w:val="00831D40"/>
    <w:rPr>
      <w:rFonts w:ascii="Calibri" w:eastAsia="PMingLiU" w:hAnsi="Calibri" w:cs="Times New Roman"/>
      <w:b/>
      <w:bCs/>
      <w:sz w:val="28"/>
      <w:szCs w:val="28"/>
      <w:lang w:eastAsia="en-US"/>
    </w:rPr>
  </w:style>
  <w:style w:type="paragraph" w:styleId="TOC4">
    <w:name w:val="toc 4"/>
    <w:basedOn w:val="Normal"/>
    <w:next w:val="Normal"/>
    <w:autoRedefine/>
    <w:uiPriority w:val="39"/>
    <w:rsid w:val="00831D40"/>
    <w:pPr>
      <w:ind w:left="720"/>
    </w:pPr>
  </w:style>
  <w:style w:type="paragraph" w:customStyle="1" w:styleId="ColorfulShading-Accent11">
    <w:name w:val="Colorful Shading - Accent 11"/>
    <w:hidden/>
    <w:uiPriority w:val="99"/>
    <w:semiHidden/>
    <w:rsid w:val="00BC03B9"/>
    <w:rPr>
      <w:sz w:val="24"/>
      <w:szCs w:val="24"/>
    </w:rPr>
  </w:style>
  <w:style w:type="paragraph" w:customStyle="1" w:styleId="ColorfulList-Accent11">
    <w:name w:val="Colorful List - Accent 11"/>
    <w:basedOn w:val="Normal"/>
    <w:uiPriority w:val="34"/>
    <w:qFormat/>
    <w:rsid w:val="007F2179"/>
    <w:pPr>
      <w:spacing w:after="200" w:line="276" w:lineRule="auto"/>
      <w:ind w:left="720"/>
      <w:contextualSpacing/>
    </w:pPr>
    <w:rPr>
      <w:rFonts w:eastAsia="Calibri" w:cs="Times New Roman"/>
      <w:sz w:val="22"/>
      <w:szCs w:val="22"/>
    </w:rPr>
  </w:style>
  <w:style w:type="character" w:styleId="IntenseReference">
    <w:name w:val="Intense Reference"/>
    <w:uiPriority w:val="32"/>
    <w:qFormat/>
    <w:rsid w:val="00B82BCB"/>
    <w:rPr>
      <w:b/>
      <w:bCs/>
      <w:smallCaps/>
      <w:color w:val="C0504D"/>
      <w:spacing w:val="5"/>
      <w:u w:val="single"/>
    </w:rPr>
  </w:style>
  <w:style w:type="paragraph" w:customStyle="1" w:styleId="LightShading-Accent21">
    <w:name w:val="Light Shading - Accent 21"/>
    <w:basedOn w:val="Normal"/>
    <w:next w:val="Normal"/>
    <w:link w:val="LightShading-Accent2Char"/>
    <w:uiPriority w:val="30"/>
    <w:qFormat/>
    <w:rsid w:val="00E412A9"/>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E412A9"/>
    <w:rPr>
      <w:rFonts w:ascii="Calibri" w:hAnsi="Calibri" w:cs="Calibri"/>
      <w:b/>
      <w:bCs/>
      <w:i/>
      <w:iCs/>
      <w:color w:val="4F81BD"/>
      <w:sz w:val="24"/>
      <w:szCs w:val="24"/>
    </w:rPr>
  </w:style>
  <w:style w:type="paragraph" w:customStyle="1" w:styleId="Table">
    <w:name w:val="Table"/>
    <w:basedOn w:val="Normal"/>
    <w:link w:val="TableChar"/>
    <w:qFormat/>
    <w:rsid w:val="00F139BD"/>
    <w:pPr>
      <w:spacing w:before="0" w:line="240" w:lineRule="auto"/>
    </w:pPr>
    <w:rPr>
      <w:sz w:val="22"/>
    </w:rPr>
  </w:style>
  <w:style w:type="table" w:styleId="MediumGrid3">
    <w:name w:val="Medium Grid 3"/>
    <w:basedOn w:val="TableNormal"/>
    <w:uiPriority w:val="60"/>
    <w:rsid w:val="00856BC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Char">
    <w:name w:val="Table Char"/>
    <w:link w:val="Table"/>
    <w:rsid w:val="00F139BD"/>
    <w:rPr>
      <w:rFonts w:ascii="Calibri" w:hAnsi="Calibri" w:cs="Calibri"/>
      <w:sz w:val="22"/>
      <w:szCs w:val="24"/>
    </w:rPr>
  </w:style>
  <w:style w:type="table" w:styleId="DarkList">
    <w:name w:val="Dark List"/>
    <w:basedOn w:val="TableNormal"/>
    <w:uiPriority w:val="61"/>
    <w:rsid w:val="00856BC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uiPriority w:val="99"/>
    <w:rsid w:val="00121E26"/>
    <w:rPr>
      <w:rFonts w:ascii="Calibri" w:hAnsi="Calibri" w:cs="Calibri"/>
      <w:sz w:val="24"/>
      <w:szCs w:val="24"/>
    </w:rPr>
  </w:style>
  <w:style w:type="table" w:styleId="TableGrid8">
    <w:name w:val="Table Grid 8"/>
    <w:basedOn w:val="TableNormal"/>
    <w:rsid w:val="009B1072"/>
    <w:pPr>
      <w:spacing w:before="180" w:after="180"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link w:val="NoSpacingChar"/>
    <w:uiPriority w:val="1"/>
    <w:qFormat/>
    <w:rsid w:val="00FD163B"/>
    <w:rPr>
      <w:rFonts w:ascii="Calibri" w:eastAsia="MS Mincho" w:hAnsi="Calibri" w:cs="Arial"/>
      <w:sz w:val="22"/>
      <w:szCs w:val="22"/>
      <w:lang w:eastAsia="ja-JP"/>
    </w:rPr>
  </w:style>
  <w:style w:type="character" w:customStyle="1" w:styleId="NoSpacingChar">
    <w:name w:val="No Spacing Char"/>
    <w:link w:val="NoSpacing"/>
    <w:uiPriority w:val="1"/>
    <w:rsid w:val="00FD163B"/>
    <w:rPr>
      <w:rFonts w:ascii="Calibri" w:eastAsia="MS Mincho" w:hAnsi="Calibri" w:cs="Arial"/>
      <w:sz w:val="22"/>
      <w:szCs w:val="22"/>
      <w:lang w:eastAsia="ja-JP"/>
    </w:rPr>
  </w:style>
  <w:style w:type="paragraph" w:styleId="Revision">
    <w:name w:val="Revision"/>
    <w:hidden/>
    <w:uiPriority w:val="99"/>
    <w:semiHidden/>
    <w:rsid w:val="003005EF"/>
    <w:rPr>
      <w:rFonts w:ascii="Calibri" w:hAnsi="Calibri" w:cs="Calibri"/>
      <w:sz w:val="24"/>
      <w:szCs w:val="24"/>
    </w:rPr>
  </w:style>
  <w:style w:type="paragraph" w:styleId="ListParagraph">
    <w:name w:val="List Paragraph"/>
    <w:basedOn w:val="Normal"/>
    <w:uiPriority w:val="34"/>
    <w:qFormat/>
    <w:rsid w:val="002522D1"/>
    <w:pPr>
      <w:ind w:left="720"/>
      <w:contextualSpacing/>
    </w:pPr>
  </w:style>
  <w:style w:type="table" w:styleId="ListTable3-Accent1">
    <w:name w:val="List Table 3 Accent 1"/>
    <w:basedOn w:val="TableNormal"/>
    <w:uiPriority w:val="48"/>
    <w:rsid w:val="0033103F"/>
    <w:tblPr>
      <w:tblStyleRowBandSize w:val="1"/>
      <w:tblStyleColBandSize w:val="1"/>
      <w:tblBorders>
        <w:top w:val="single" w:sz="4" w:space="0" w:color="034E6E" w:themeColor="accent1"/>
        <w:left w:val="single" w:sz="4" w:space="0" w:color="034E6E" w:themeColor="accent1"/>
        <w:bottom w:val="single" w:sz="4" w:space="0" w:color="034E6E" w:themeColor="accent1"/>
        <w:right w:val="single" w:sz="4" w:space="0" w:color="034E6E" w:themeColor="accent1"/>
      </w:tblBorders>
    </w:tblPr>
    <w:tblStylePr w:type="firstRow">
      <w:rPr>
        <w:b/>
        <w:bCs/>
        <w:color w:val="FFFFFF" w:themeColor="background1"/>
      </w:rPr>
      <w:tblPr/>
      <w:tcPr>
        <w:shd w:val="clear" w:color="auto" w:fill="034E6E" w:themeFill="accent1"/>
      </w:tcPr>
    </w:tblStylePr>
    <w:tblStylePr w:type="lastRow">
      <w:rPr>
        <w:b/>
        <w:bCs/>
      </w:rPr>
      <w:tblPr/>
      <w:tcPr>
        <w:tcBorders>
          <w:top w:val="double" w:sz="4" w:space="0" w:color="034E6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4E6E" w:themeColor="accent1"/>
          <w:right w:val="single" w:sz="4" w:space="0" w:color="034E6E" w:themeColor="accent1"/>
        </w:tcBorders>
      </w:tcPr>
    </w:tblStylePr>
    <w:tblStylePr w:type="band1Horz">
      <w:tblPr/>
      <w:tcPr>
        <w:tcBorders>
          <w:top w:val="single" w:sz="4" w:space="0" w:color="034E6E" w:themeColor="accent1"/>
          <w:bottom w:val="single" w:sz="4" w:space="0" w:color="034E6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4E6E" w:themeColor="accent1"/>
          <w:left w:val="nil"/>
        </w:tcBorders>
      </w:tcPr>
    </w:tblStylePr>
    <w:tblStylePr w:type="swCell">
      <w:tblPr/>
      <w:tcPr>
        <w:tcBorders>
          <w:top w:val="double" w:sz="4" w:space="0" w:color="034E6E" w:themeColor="accent1"/>
          <w:right w:val="nil"/>
        </w:tcBorders>
      </w:tcPr>
    </w:tblStylePr>
  </w:style>
  <w:style w:type="character" w:styleId="FollowedHyperlink">
    <w:name w:val="FollowedHyperlink"/>
    <w:basedOn w:val="DefaultParagraphFont"/>
    <w:uiPriority w:val="99"/>
    <w:semiHidden/>
    <w:unhideWhenUsed/>
    <w:rsid w:val="000B0B1C"/>
    <w:rPr>
      <w:color w:val="800080" w:themeColor="followedHyperlink"/>
      <w:u w:val="single"/>
    </w:rPr>
  </w:style>
  <w:style w:type="table" w:styleId="GridTable1Light-Accent1">
    <w:name w:val="Grid Table 1 Light Accent 1"/>
    <w:basedOn w:val="TableNormal"/>
    <w:uiPriority w:val="46"/>
    <w:tblPr>
      <w:tblStyleRowBandSize w:val="1"/>
      <w:tblStyleColBandSize w:val="1"/>
      <w:tblBorders>
        <w:top w:val="single" w:sz="4" w:space="0" w:color="64CDFA" w:themeColor="accent1" w:themeTint="66"/>
        <w:left w:val="single" w:sz="4" w:space="0" w:color="64CDFA" w:themeColor="accent1" w:themeTint="66"/>
        <w:bottom w:val="single" w:sz="4" w:space="0" w:color="64CDFA" w:themeColor="accent1" w:themeTint="66"/>
        <w:right w:val="single" w:sz="4" w:space="0" w:color="64CDFA" w:themeColor="accent1" w:themeTint="66"/>
        <w:insideH w:val="single" w:sz="4" w:space="0" w:color="64CDFA" w:themeColor="accent1" w:themeTint="66"/>
        <w:insideV w:val="single" w:sz="4" w:space="0" w:color="64CDFA" w:themeColor="accent1" w:themeTint="66"/>
      </w:tblBorders>
    </w:tblPr>
    <w:tblStylePr w:type="firstRow">
      <w:rPr>
        <w:b/>
        <w:bCs/>
      </w:rPr>
      <w:tblPr/>
      <w:tcPr>
        <w:tcBorders>
          <w:bottom w:val="single" w:sz="12" w:space="0" w:color="17B4F8" w:themeColor="accent1" w:themeTint="99"/>
        </w:tcBorders>
      </w:tcPr>
    </w:tblStylePr>
    <w:tblStylePr w:type="lastRow">
      <w:rPr>
        <w:b/>
        <w:bCs/>
      </w:rPr>
      <w:tblPr/>
      <w:tcPr>
        <w:tcBorders>
          <w:top w:val="double" w:sz="2" w:space="0" w:color="17B4F8"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C44A4"/>
    <w:tblPr>
      <w:tblStyleRowBandSize w:val="1"/>
      <w:tblStyleColBandSize w:val="1"/>
      <w:tblBorders>
        <w:top w:val="single" w:sz="4" w:space="0" w:color="17B4F8" w:themeColor="accent1" w:themeTint="99"/>
        <w:left w:val="single" w:sz="4" w:space="0" w:color="17B4F8" w:themeColor="accent1" w:themeTint="99"/>
        <w:bottom w:val="single" w:sz="4" w:space="0" w:color="17B4F8" w:themeColor="accent1" w:themeTint="99"/>
        <w:right w:val="single" w:sz="4" w:space="0" w:color="17B4F8" w:themeColor="accent1" w:themeTint="99"/>
        <w:insideH w:val="single" w:sz="4" w:space="0" w:color="17B4F8" w:themeColor="accent1" w:themeTint="99"/>
        <w:insideV w:val="single" w:sz="4" w:space="0" w:color="17B4F8" w:themeColor="accent1" w:themeTint="99"/>
      </w:tblBorders>
    </w:tblPr>
    <w:tblStylePr w:type="firstRow">
      <w:rPr>
        <w:b/>
        <w:bCs/>
        <w:color w:val="FFFFFF" w:themeColor="background1"/>
      </w:rPr>
      <w:tblPr/>
      <w:tcPr>
        <w:tcBorders>
          <w:top w:val="single" w:sz="4" w:space="0" w:color="034E6E" w:themeColor="accent1"/>
          <w:left w:val="single" w:sz="4" w:space="0" w:color="034E6E" w:themeColor="accent1"/>
          <w:bottom w:val="single" w:sz="4" w:space="0" w:color="034E6E" w:themeColor="accent1"/>
          <w:right w:val="single" w:sz="4" w:space="0" w:color="034E6E" w:themeColor="accent1"/>
          <w:insideH w:val="nil"/>
          <w:insideV w:val="nil"/>
        </w:tcBorders>
        <w:shd w:val="clear" w:color="auto" w:fill="034E6E" w:themeFill="accent1"/>
      </w:tcPr>
    </w:tblStylePr>
    <w:tblStylePr w:type="lastRow">
      <w:rPr>
        <w:b/>
        <w:bCs/>
      </w:rPr>
      <w:tblPr/>
      <w:tcPr>
        <w:tcBorders>
          <w:top w:val="double" w:sz="4" w:space="0" w:color="034E6E" w:themeColor="accent1"/>
        </w:tcBorders>
      </w:tcPr>
    </w:tblStylePr>
    <w:tblStylePr w:type="firstCol">
      <w:rPr>
        <w:b/>
        <w:bCs/>
      </w:rPr>
    </w:tblStylePr>
    <w:tblStylePr w:type="lastCol">
      <w:rPr>
        <w:b/>
        <w:bCs/>
      </w:rPr>
    </w:tblStylePr>
    <w:tblStylePr w:type="band1Vert">
      <w:tblPr/>
      <w:tcPr>
        <w:shd w:val="clear" w:color="auto" w:fill="B1E6FD" w:themeFill="accent1" w:themeFillTint="33"/>
      </w:tcPr>
    </w:tblStylePr>
    <w:tblStylePr w:type="band1Horz">
      <w:tblPr/>
      <w:tcPr>
        <w:shd w:val="clear" w:color="auto" w:fill="B1E6FD" w:themeFill="accent1" w:themeFillTint="33"/>
      </w:tcPr>
    </w:tblStylePr>
  </w:style>
  <w:style w:type="paragraph" w:customStyle="1" w:styleId="E3Table">
    <w:name w:val="E3 Table"/>
    <w:basedOn w:val="BodyText"/>
    <w:next w:val="BodyText"/>
    <w:uiPriority w:val="99"/>
    <w:rsid w:val="00B43108"/>
    <w:pPr>
      <w:spacing w:before="60" w:after="40" w:line="240" w:lineRule="auto"/>
    </w:pPr>
    <w:rPr>
      <w:rFonts w:ascii="Arial" w:hAnsi="Arial" w:cs="Times New Roman"/>
      <w:sz w:val="18"/>
      <w:szCs w:val="18"/>
    </w:rPr>
  </w:style>
  <w:style w:type="paragraph" w:styleId="BodyText">
    <w:name w:val="Body Text"/>
    <w:basedOn w:val="Normal"/>
    <w:link w:val="BodyTextChar"/>
    <w:uiPriority w:val="99"/>
    <w:semiHidden/>
    <w:unhideWhenUsed/>
    <w:rsid w:val="00B43108"/>
    <w:pPr>
      <w:spacing w:after="120"/>
    </w:pPr>
  </w:style>
  <w:style w:type="character" w:customStyle="1" w:styleId="BodyTextChar">
    <w:name w:val="Body Text Char"/>
    <w:basedOn w:val="DefaultParagraphFont"/>
    <w:link w:val="BodyText"/>
    <w:uiPriority w:val="99"/>
    <w:semiHidden/>
    <w:rsid w:val="00B43108"/>
    <w:rPr>
      <w:rFonts w:ascii="Calibri" w:hAnsi="Calibri" w:cs="Calibri"/>
      <w:sz w:val="24"/>
      <w:szCs w:val="24"/>
    </w:rPr>
  </w:style>
  <w:style w:type="character" w:customStyle="1" w:styleId="E3FootnoteTextChar">
    <w:name w:val="E3 Footnote Text Char"/>
    <w:basedOn w:val="DefaultParagraphFont"/>
    <w:uiPriority w:val="99"/>
    <w:semiHidden/>
    <w:locked/>
    <w:rsid w:val="00602B3F"/>
    <w:rPr>
      <w:rFonts w:ascii="Calibri" w:hAnsi="Calibri" w:cs="Times New Roman"/>
      <w:spacing w:val="-2"/>
      <w:sz w:val="20"/>
      <w:szCs w:val="20"/>
    </w:rPr>
  </w:style>
  <w:style w:type="paragraph" w:customStyle="1" w:styleId="E3Caption">
    <w:name w:val="E3 Caption"/>
    <w:basedOn w:val="Caption"/>
    <w:uiPriority w:val="99"/>
    <w:qFormat/>
    <w:rsid w:val="00602B3F"/>
    <w:pPr>
      <w:keepLines w:val="0"/>
      <w:spacing w:before="0" w:after="300"/>
      <w:ind w:left="720" w:hanging="720"/>
    </w:pPr>
    <w:rPr>
      <w:rFonts w:cs="Times New Roman"/>
      <w:color w:val="005070"/>
      <w:spacing w:val="-2"/>
      <w:sz w:val="22"/>
      <w:szCs w:val="20"/>
    </w:rPr>
  </w:style>
  <w:style w:type="table" w:customStyle="1" w:styleId="E3TableforRealThisTime">
    <w:name w:val="E3 Table for Real This Time"/>
    <w:basedOn w:val="TableNormal"/>
    <w:uiPriority w:val="99"/>
    <w:rsid w:val="00602B3F"/>
    <w:rPr>
      <w:rFonts w:ascii="Arial" w:hAnsi="Arial"/>
      <w:sz w:val="18"/>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Times New Roman"/>
        <w:b/>
        <w:color w:val="F2F2F2" w:themeColor="background1" w:themeShade="F2"/>
        <w:sz w:val="52"/>
      </w:rPr>
      <w:tblPr/>
      <w:tcPr>
        <w:shd w:val="clear" w:color="auto" w:fill="005070"/>
      </w:tcPr>
    </w:tblStylePr>
    <w:tblStylePr w:type="band1Horz">
      <w:rPr>
        <w:rFonts w:cs="Times New Roman"/>
      </w:rPr>
      <w:tblPr/>
      <w:tcPr>
        <w:shd w:val="clear" w:color="auto" w:fill="DDD9C3" w:themeFill="background2" w:themeFillShade="E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669171">
      <w:bodyDiv w:val="1"/>
      <w:marLeft w:val="0"/>
      <w:marRight w:val="0"/>
      <w:marTop w:val="0"/>
      <w:marBottom w:val="0"/>
      <w:divBdr>
        <w:top w:val="none" w:sz="0" w:space="0" w:color="auto"/>
        <w:left w:val="none" w:sz="0" w:space="0" w:color="auto"/>
        <w:bottom w:val="none" w:sz="0" w:space="0" w:color="auto"/>
        <w:right w:val="none" w:sz="0" w:space="0" w:color="auto"/>
      </w:divBdr>
    </w:div>
    <w:div w:id="951664896">
      <w:bodyDiv w:val="1"/>
      <w:marLeft w:val="0"/>
      <w:marRight w:val="0"/>
      <w:marTop w:val="0"/>
      <w:marBottom w:val="0"/>
      <w:divBdr>
        <w:top w:val="none" w:sz="0" w:space="0" w:color="auto"/>
        <w:left w:val="none" w:sz="0" w:space="0" w:color="auto"/>
        <w:bottom w:val="none" w:sz="0" w:space="0" w:color="auto"/>
        <w:right w:val="none" w:sz="0" w:space="0" w:color="auto"/>
      </w:divBdr>
    </w:div>
    <w:div w:id="1427844849">
      <w:bodyDiv w:val="1"/>
      <w:marLeft w:val="0"/>
      <w:marRight w:val="0"/>
      <w:marTop w:val="0"/>
      <w:marBottom w:val="0"/>
      <w:divBdr>
        <w:top w:val="none" w:sz="0" w:space="0" w:color="auto"/>
        <w:left w:val="none" w:sz="0" w:space="0" w:color="auto"/>
        <w:bottom w:val="none" w:sz="0" w:space="0" w:color="auto"/>
        <w:right w:val="none" w:sz="0" w:space="0" w:color="auto"/>
      </w:divBdr>
    </w:div>
    <w:div w:id="170505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emf"/></Relationships>
</file>

<file path=word/_rels/footnotes.xml.rels><?xml version="1.0" encoding="UTF-8" standalone="yes"?>
<Relationships xmlns="http://schemas.openxmlformats.org/package/2006/relationships"><Relationship Id="rId8" Type="http://schemas.openxmlformats.org/officeDocument/2006/relationships/hyperlink" Target="http://www.cpuc.ca.gov/PUC/energy/Energy+Efficiency/EM+and+V/Embedded+Energy+in+Water+Studies1_and_2.htm" TargetMode="External"/><Relationship Id="rId3" Type="http://schemas.openxmlformats.org/officeDocument/2006/relationships/hyperlink" Target="http://caiso.com/Documents/2015AnnualReportonMarketIssuesandPerformance.pdf" TargetMode="External"/><Relationship Id="rId7" Type="http://schemas.openxmlformats.org/officeDocument/2006/relationships/hyperlink" Target="http://www.liob.org/docs/LIEE%20Non-Energy%20Benefits%20Revised%20Report.pdf" TargetMode="External"/><Relationship Id="rId2" Type="http://schemas.openxmlformats.org/officeDocument/2006/relationships/hyperlink" Target="http://www.energy.ca.gov/2014publications/CEC-200-2014-003/index.html" TargetMode="External"/><Relationship Id="rId1" Type="http://schemas.openxmlformats.org/officeDocument/2006/relationships/hyperlink" Target="https://ethree.com/public_projects/recap.php" TargetMode="External"/><Relationship Id="rId6" Type="http://schemas.openxmlformats.org/officeDocument/2006/relationships/hyperlink" Target="http://caiso.com/Documents/2015AnnualReportonMarketIssuesandPerformance.pdf" TargetMode="External"/><Relationship Id="rId5" Type="http://schemas.openxmlformats.org/officeDocument/2006/relationships/hyperlink" Target="https://ethree.com/public_projects/recap.php" TargetMode="External"/><Relationship Id="rId10" Type="http://schemas.openxmlformats.org/officeDocument/2006/relationships/hyperlink" Target="http://www.energy.ca.gov/2014publications/CEC-200-2014-003/index.html" TargetMode="External"/><Relationship Id="rId4" Type="http://schemas.openxmlformats.org/officeDocument/2006/relationships/hyperlink" Target="http://www.cpuc.ca.gov/PUC/energy/Procurement/RA/ra_compliance_materials.htm" TargetMode="External"/><Relationship Id="rId9" Type="http://schemas.openxmlformats.org/officeDocument/2006/relationships/hyperlink" Target="https://ethree.com/public_projects/recap.php" TargetMode="External"/></Relationships>
</file>

<file path=word/theme/theme1.xml><?xml version="1.0" encoding="utf-8"?>
<a:theme xmlns:a="http://schemas.openxmlformats.org/drawingml/2006/main" name="Office Theme">
  <a:themeElements>
    <a:clrScheme name="E3">
      <a:dk1>
        <a:sysClr val="windowText" lastClr="000000"/>
      </a:dk1>
      <a:lt1>
        <a:sysClr val="window" lastClr="FFFFFF"/>
      </a:lt1>
      <a:dk2>
        <a:srgbClr val="315361"/>
      </a:dk2>
      <a:lt2>
        <a:srgbClr val="EEECE1"/>
      </a:lt2>
      <a:accent1>
        <a:srgbClr val="034E6E"/>
      </a:accent1>
      <a:accent2>
        <a:srgbClr val="AF7E00"/>
      </a:accent2>
      <a:accent3>
        <a:srgbClr val="AF2200"/>
      </a:accent3>
      <a:accent4>
        <a:srgbClr val="007E33"/>
      </a:accent4>
      <a:accent5>
        <a:srgbClr val="AF5D00"/>
      </a:accent5>
      <a:accent6>
        <a:srgbClr val="0A1978"/>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FD4737-DE25-4935-BF1F-14E4A465C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93</Pages>
  <Words>9678</Words>
  <Characters>55195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Energy Efficiency Avoided Costs 2011 Update</vt:lpstr>
    </vt:vector>
  </TitlesOfParts>
  <Company>Microsoft</Company>
  <LinksUpToDate>false</LinksUpToDate>
  <CharactersWithSpaces>64744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Efficiency Avoided Costs 2011 Update</dc:title>
  <dc:subject/>
  <dc:creator>Brian Horii, Eric Cutter</dc:creator>
  <cp:keywords/>
  <cp:lastModifiedBy>Zachary Ming</cp:lastModifiedBy>
  <cp:revision>6</cp:revision>
  <cp:lastPrinted>2011-07-05T23:24:00Z</cp:lastPrinted>
  <dcterms:created xsi:type="dcterms:W3CDTF">2017-09-12T05:34:00Z</dcterms:created>
  <dcterms:modified xsi:type="dcterms:W3CDTF">2017-09-19T00:02:00Z</dcterms:modified>
</cp:coreProperties>
</file>