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Week Ending 2017-03-31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IBM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Kyle Merfeld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Marshall Ford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Carl Molnar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Grant Christianson</w:t>
      </w:r>
    </w:p>
    <w:p w:rsidR="00000000" w:rsidDel="00000000" w:rsidP="00000000" w:rsidRDefault="00000000" w:rsidRPr="00000000">
      <w:pPr>
        <w:pStyle w:val="Heading1"/>
        <w:keepNext w:val="0"/>
        <w:pBdr/>
        <w:tabs>
          <w:tab w:val="left" w:pos="360"/>
        </w:tabs>
        <w:spacing w:after="0" w:before="480" w:lineRule="auto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focus: Openstack gerrit dataset: use Tensorflow to predict jenkins score of open patches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data collection implementation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sz w:val="34"/>
          <w:szCs w:val="34"/>
          <w:rtl w:val="0"/>
        </w:rPr>
        <w:t xml:space="preserve">Top Highlights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Data is potentially meaningful, used Weka to get preliminary results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3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creep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3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longer implementing streaming via object storage plugin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pBdr/>
        <w:tabs>
          <w:tab w:val="left" w:pos="360"/>
        </w:tabs>
        <w:spacing w:after="0" w:before="480" w:lineRule="auto"/>
        <w:contextualSpacing w:val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bidiVisual w:val="0"/>
        <w:tblW w:w="14400.0" w:type="dxa"/>
        <w:jc w:val="left"/>
        <w:tblInd w:w="-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57.7523413111344"/>
        <w:gridCol w:w="2427.471383975026"/>
        <w:gridCol w:w="6113.63163371488"/>
        <w:gridCol w:w="1962.9552549427676"/>
        <w:gridCol w:w="1738.1893860561913"/>
        <w:tblGridChange w:id="0">
          <w:tblGrid>
            <w:gridCol w:w="2157.7523413111344"/>
            <w:gridCol w:w="2427.471383975026"/>
            <w:gridCol w:w="6113.63163371488"/>
            <w:gridCol w:w="1962.9552549427676"/>
            <w:gridCol w:w="1738.1893860561913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meeting with 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Cleaned up sprint report and project spec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Kyle and Marshall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grabber prototype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Worked on python script that collects data for tensorflow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Marshall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Data grabber implementation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Continued work on data collector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Kyle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Tested data set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 trial run in Weka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List any activities undertaken by members of the project team in the last week. These can include things done as a group.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Effort should be estimated in terms of hours of time taken (e.g., 1.5 hours, 3 hours, .5 hours, etc.)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data collector, get proper dataset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training TF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sz w:val="34"/>
          <w:szCs w:val="34"/>
          <w:rtl w:val="0"/>
        </w:rPr>
        <w:t xml:space="preserve">Risks</w:t>
      </w:r>
    </w:p>
    <w:tbl>
      <w:tblPr>
        <w:tblStyle w:val="Table2"/>
        <w:bidiVisual w:val="0"/>
        <w:tblW w:w="14400.0" w:type="dxa"/>
        <w:jc w:val="left"/>
        <w:tblInd w:w="-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1290"/>
        <w:gridCol w:w="1860"/>
        <w:gridCol w:w="1200"/>
        <w:gridCol w:w="1530"/>
        <w:gridCol w:w="1950"/>
        <w:gridCol w:w="2220"/>
        <w:gridCol w:w="3600"/>
        <w:tblGridChange w:id="0">
          <w:tblGrid>
            <w:gridCol w:w="750"/>
            <w:gridCol w:w="1290"/>
            <w:gridCol w:w="1860"/>
            <w:gridCol w:w="1200"/>
            <w:gridCol w:w="1530"/>
            <w:gridCol w:w="1950"/>
            <w:gridCol w:w="2220"/>
            <w:gridCol w:w="3600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Recommendation / Resolution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Not having permanent bluemix accounts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we have to use trial accounts forever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run out of free accounts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talk to sponsors next week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Sponsors losing interest or getting busy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mgmt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They play stardew valley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Consistent communication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Cannot meet with primary users (researchers)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Unsure of purpose of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Researchers cannot meet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Flexible meeting times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occurred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Addition of requirements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More tasks, less time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ideas come up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Early definition of scope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Failure to comprehend tech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Slows progress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enough research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Commit to research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Possible lack of time for our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Sponsors unhappy, looks bad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tasks to do, too time consuming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Identify early which tasks will take too long, discuss with sponsor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Not sure about what the priorities are for our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Sponsors unhappy if we do the wrong thing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got a big new task, not sure the priority of it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Discuss with the sponsor next meeting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Gerrit dataset is not useful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Model does not predict jenkins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correlation between dataset and jenkins score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Determine dataset usefulness quickly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bidiVisual w:val="0"/>
        <w:tblW w:w="14400.0" w:type="dxa"/>
        <w:jc w:val="left"/>
        <w:tblInd w:w="-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855"/>
        <w:gridCol w:w="1185"/>
        <w:gridCol w:w="2235"/>
        <w:gridCol w:w="1005"/>
        <w:gridCol w:w="1260"/>
        <w:gridCol w:w="3255"/>
        <w:gridCol w:w="3840"/>
        <w:tblGridChange w:id="0">
          <w:tblGrid>
            <w:gridCol w:w="765"/>
            <w:gridCol w:w="855"/>
            <w:gridCol w:w="1185"/>
            <w:gridCol w:w="2235"/>
            <w:gridCol w:w="1005"/>
            <w:gridCol w:w="1260"/>
            <w:gridCol w:w="3255"/>
            <w:gridCol w:w="3840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Recommendation / Resolution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Not sure how to implement streaming into TensorFlow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ASAP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This is a big goal of our project, so without functional streaming, we do not meet our project goal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Discuss with the sponsor next meeting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Risks and Issues tables should be maintained across multiple documents.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Do not remove issues or risks from the tables once added, but make modifications to the status as necessary.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bidiVisual w:val="0"/>
        <w:tblW w:w="1381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3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90"/>
        <w:gridCol w:w="690"/>
        <w:gridCol w:w="675"/>
        <w:tblGridChange w:id="0">
          <w:tblGrid>
            <w:gridCol w:w="433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90"/>
            <w:gridCol w:w="690"/>
            <w:gridCol w:w="67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2/03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2/10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3/03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3/10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3/31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4/21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4/28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Update the Project Success Tracking table for each new weekly report.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indicate that the project is track according to that criteria, </w:t>
      </w: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to indicate a non-applicable criteria, or a number with a note below.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