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10BA" w14:textId="5543220C" w:rsidR="00AD6815" w:rsidRPr="00B03F06" w:rsidRDefault="00AD6815" w:rsidP="00AD6815">
      <w:pPr>
        <w:pStyle w:val="Title"/>
        <w:rPr>
          <w:color w:val="auto"/>
        </w:rPr>
      </w:pPr>
      <w:r w:rsidRPr="00B03F06">
        <w:rPr>
          <w:color w:val="auto"/>
        </w:rPr>
        <w:t xml:space="preserve">Plasma </w:t>
      </w:r>
      <w:r w:rsidR="006B5514">
        <w:rPr>
          <w:color w:val="auto"/>
        </w:rPr>
        <w:t>o</w:t>
      </w:r>
      <w:r w:rsidR="006B5514" w:rsidRPr="008159B9">
        <w:rPr>
          <w:color w:val="auto"/>
        </w:rPr>
        <w:t>Aβ</w:t>
      </w:r>
      <w:r w:rsidRPr="00B03F06">
        <w:rPr>
          <w:color w:val="auto"/>
        </w:rPr>
        <w:t xml:space="preserve"> in ADNI</w:t>
      </w:r>
    </w:p>
    <w:p w14:paraId="768B0279" w14:textId="14E6CDE7" w:rsidR="00AD6815" w:rsidRDefault="006B5514" w:rsidP="08B37D64">
      <w:pPr>
        <w:pStyle w:val="Subtitle"/>
        <w:contextualSpacing/>
        <w:rPr>
          <w:vertAlign w:val="superscript"/>
        </w:rPr>
      </w:pPr>
      <w:r>
        <w:t>Ting Yang</w:t>
      </w:r>
      <w:r w:rsidR="00C836E1">
        <w:t>,</w:t>
      </w:r>
      <w:r w:rsidR="00C836E1" w:rsidRPr="08B37D64">
        <w:rPr>
          <w:vertAlign w:val="superscript"/>
        </w:rPr>
        <w:t>1</w:t>
      </w:r>
      <w:r w:rsidR="00C836E1">
        <w:t xml:space="preserve"> </w:t>
      </w:r>
      <w:r>
        <w:t>Yi</w:t>
      </w:r>
      <w:r w:rsidR="0809E7F2">
        <w:t>R</w:t>
      </w:r>
      <w:r>
        <w:t>an</w:t>
      </w:r>
      <w:r w:rsidR="002126D9">
        <w:t xml:space="preserve"> </w:t>
      </w:r>
      <w:r>
        <w:t>Xu</w:t>
      </w:r>
      <w:bookmarkStart w:id="0" w:name="_Hlk85449704"/>
      <w:r w:rsidR="00AD6815" w:rsidRPr="08B37D64">
        <w:rPr>
          <w:vertAlign w:val="superscript"/>
        </w:rPr>
        <w:t>1</w:t>
      </w:r>
      <w:bookmarkEnd w:id="0"/>
      <w:r w:rsidR="00AD6815">
        <w:t>,</w:t>
      </w:r>
      <w:r w:rsidR="00AD6815" w:rsidRPr="08B37D64">
        <w:rPr>
          <w:vertAlign w:val="superscript"/>
        </w:rPr>
        <w:t xml:space="preserve"> </w:t>
      </w:r>
      <w:r w:rsidR="00AD6815">
        <w:t>Shirley Cai,</w:t>
      </w:r>
      <w:r w:rsidR="00AD6815" w:rsidRPr="08B37D64">
        <w:rPr>
          <w:vertAlign w:val="superscript"/>
        </w:rPr>
        <w:t>1</w:t>
      </w:r>
      <w:r w:rsidR="00AD6815">
        <w:t xml:space="preserve"> and Dennis Selkoe</w:t>
      </w:r>
      <w:r w:rsidR="00AD6815" w:rsidRPr="08B37D64">
        <w:rPr>
          <w:vertAlign w:val="superscript"/>
        </w:rPr>
        <w:t>1</w:t>
      </w:r>
    </w:p>
    <w:p w14:paraId="4DEADB8F" w14:textId="77777777" w:rsidR="00AD6815" w:rsidRDefault="00AD6815" w:rsidP="00AD6815">
      <w:pPr>
        <w:contextualSpacing/>
      </w:pPr>
    </w:p>
    <w:p w14:paraId="45F5E3AD" w14:textId="77777777" w:rsidR="00AD6815" w:rsidRDefault="00AD6815" w:rsidP="00AD6815">
      <w:pPr>
        <w:pStyle w:val="ListParagraph"/>
        <w:numPr>
          <w:ilvl w:val="0"/>
          <w:numId w:val="2"/>
        </w:numPr>
      </w:pPr>
      <w:r>
        <w:t>Ann Romney Center for Neurologic Diseases, Brigham and Women’s Hospital, 60 Fenwood Road, Boston, MA 02115</w:t>
      </w:r>
    </w:p>
    <w:p w14:paraId="31883E5A" w14:textId="77777777" w:rsidR="00F92209" w:rsidRPr="00F92209" w:rsidRDefault="00F92209">
      <w:pPr>
        <w:rPr>
          <w:rFonts w:cs="Times New Roman"/>
        </w:rPr>
      </w:pPr>
    </w:p>
    <w:tbl>
      <w:tblPr>
        <w:tblStyle w:val="TableGrid"/>
        <w:tblW w:w="0" w:type="auto"/>
        <w:tblInd w:w="10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130"/>
        <w:gridCol w:w="6250"/>
      </w:tblGrid>
      <w:tr w:rsidR="00ED44CB" w:rsidRPr="00ED44CB" w14:paraId="3816D381" w14:textId="77777777" w:rsidTr="00F45483">
        <w:tc>
          <w:tcPr>
            <w:tcW w:w="7380" w:type="dxa"/>
            <w:gridSpan w:val="2"/>
            <w:shd w:val="clear" w:color="auto" w:fill="D0EBCB"/>
          </w:tcPr>
          <w:p w14:paraId="737DB1B1" w14:textId="2FB00601" w:rsidR="00ED44CB" w:rsidRPr="00827FA0" w:rsidRDefault="00ED44CB" w:rsidP="00DF0718">
            <w:pPr>
              <w:pStyle w:val="Caption"/>
              <w:rPr>
                <w:b/>
              </w:rPr>
            </w:pPr>
            <w:r w:rsidRPr="00827FA0">
              <w:rPr>
                <w:b/>
              </w:rPr>
              <w:t>Contents</w:t>
            </w:r>
          </w:p>
        </w:tc>
      </w:tr>
      <w:tr w:rsidR="00F45483" w:rsidRPr="00ED44CB" w14:paraId="68C34D79" w14:textId="77777777" w:rsidTr="00F45483">
        <w:tc>
          <w:tcPr>
            <w:tcW w:w="1130" w:type="dxa"/>
            <w:shd w:val="clear" w:color="auto" w:fill="F2F2F2" w:themeFill="background1" w:themeFillShade="F2"/>
          </w:tcPr>
          <w:p w14:paraId="5ED938DC" w14:textId="77777777" w:rsidR="00ED44CB" w:rsidRPr="00ED44CB" w:rsidRDefault="00ED44CB" w:rsidP="00827FA0">
            <w:pPr>
              <w:pStyle w:val="Caption"/>
            </w:pPr>
            <w:r w:rsidRPr="00ED44CB">
              <w:t xml:space="preserve">Page 1 </w:t>
            </w:r>
          </w:p>
        </w:tc>
        <w:tc>
          <w:tcPr>
            <w:tcW w:w="6250" w:type="dxa"/>
            <w:shd w:val="clear" w:color="auto" w:fill="F2F2F2" w:themeFill="background1" w:themeFillShade="F2"/>
          </w:tcPr>
          <w:p w14:paraId="63A91624" w14:textId="7BDE08E8" w:rsidR="00ED44CB" w:rsidRPr="00ED44CB" w:rsidRDefault="002B0743" w:rsidP="00827FA0">
            <w:pPr>
              <w:pStyle w:val="Caption"/>
            </w:pPr>
            <w:r>
              <w:t>Introduction</w:t>
            </w:r>
          </w:p>
        </w:tc>
      </w:tr>
      <w:tr w:rsidR="00F45483" w:rsidRPr="00ED44CB" w14:paraId="3D1B306F" w14:textId="77777777" w:rsidTr="00F45483">
        <w:tc>
          <w:tcPr>
            <w:tcW w:w="1130" w:type="dxa"/>
            <w:shd w:val="clear" w:color="auto" w:fill="F2F2F2" w:themeFill="background1" w:themeFillShade="F2"/>
          </w:tcPr>
          <w:p w14:paraId="27154409" w14:textId="77777777" w:rsidR="00ED44CB" w:rsidRDefault="00ED44CB" w:rsidP="002B0743">
            <w:pPr>
              <w:pStyle w:val="Caption"/>
            </w:pPr>
            <w:r w:rsidRPr="00ED44CB">
              <w:t xml:space="preserve">Page </w:t>
            </w:r>
            <w:r w:rsidR="002B0743">
              <w:t>1</w:t>
            </w:r>
          </w:p>
          <w:p w14:paraId="47F80BBC" w14:textId="77777777" w:rsidR="002B0743" w:rsidRDefault="002B0743" w:rsidP="002B0743">
            <w:pPr>
              <w:rPr>
                <w:rFonts w:ascii="Arial" w:hAnsi="Arial" w:cs="Arial"/>
                <w:sz w:val="16"/>
                <w:szCs w:val="16"/>
              </w:rPr>
            </w:pPr>
            <w:r w:rsidRPr="002B0743">
              <w:rPr>
                <w:rFonts w:ascii="Arial" w:hAnsi="Arial" w:cs="Arial"/>
                <w:sz w:val="16"/>
                <w:szCs w:val="16"/>
              </w:rPr>
              <w:t>Page 2</w:t>
            </w:r>
          </w:p>
          <w:p w14:paraId="4295E2A5" w14:textId="604A3578" w:rsidR="002B0743" w:rsidRDefault="002B0743" w:rsidP="002B0743">
            <w:pPr>
              <w:rPr>
                <w:rFonts w:ascii="Arial" w:hAnsi="Arial" w:cs="Arial"/>
                <w:sz w:val="16"/>
                <w:szCs w:val="16"/>
              </w:rPr>
            </w:pPr>
            <w:r>
              <w:rPr>
                <w:rFonts w:ascii="Arial" w:hAnsi="Arial" w:cs="Arial"/>
                <w:sz w:val="16"/>
                <w:szCs w:val="16"/>
              </w:rPr>
              <w:t xml:space="preserve">Page </w:t>
            </w:r>
            <w:r w:rsidR="00DA7385">
              <w:rPr>
                <w:rFonts w:ascii="Arial" w:hAnsi="Arial" w:cs="Arial"/>
                <w:sz w:val="16"/>
                <w:szCs w:val="16"/>
              </w:rPr>
              <w:t>3</w:t>
            </w:r>
          </w:p>
          <w:p w14:paraId="153FB83F" w14:textId="7C3E7959" w:rsidR="002B0743" w:rsidRPr="002B0743" w:rsidRDefault="002B0743" w:rsidP="002B0743">
            <w:pPr>
              <w:rPr>
                <w:rFonts w:ascii="Arial" w:hAnsi="Arial" w:cs="Arial"/>
                <w:sz w:val="16"/>
                <w:szCs w:val="16"/>
              </w:rPr>
            </w:pPr>
            <w:r>
              <w:rPr>
                <w:rFonts w:ascii="Arial" w:hAnsi="Arial" w:cs="Arial"/>
                <w:sz w:val="16"/>
                <w:szCs w:val="16"/>
              </w:rPr>
              <w:t xml:space="preserve">Page </w:t>
            </w:r>
            <w:r w:rsidR="00DA7385">
              <w:rPr>
                <w:rFonts w:ascii="Arial" w:hAnsi="Arial" w:cs="Arial"/>
                <w:sz w:val="16"/>
                <w:szCs w:val="16"/>
              </w:rPr>
              <w:t>3</w:t>
            </w:r>
          </w:p>
        </w:tc>
        <w:tc>
          <w:tcPr>
            <w:tcW w:w="6250" w:type="dxa"/>
            <w:shd w:val="clear" w:color="auto" w:fill="F2F2F2" w:themeFill="background1" w:themeFillShade="F2"/>
          </w:tcPr>
          <w:p w14:paraId="1CC4B4A6" w14:textId="77777777" w:rsidR="00ED44CB" w:rsidRDefault="002B0743" w:rsidP="00827FA0">
            <w:pPr>
              <w:pStyle w:val="Caption"/>
            </w:pPr>
            <w:r>
              <w:t>Summary</w:t>
            </w:r>
          </w:p>
          <w:p w14:paraId="746D3F26" w14:textId="38FF72ED" w:rsidR="002B0743" w:rsidRDefault="002B0743" w:rsidP="002B0743">
            <w:pPr>
              <w:rPr>
                <w:rFonts w:ascii="Arial" w:hAnsi="Arial" w:cs="Arial"/>
                <w:sz w:val="16"/>
                <w:szCs w:val="16"/>
              </w:rPr>
            </w:pPr>
            <w:r>
              <w:rPr>
                <w:rFonts w:ascii="Arial" w:hAnsi="Arial" w:cs="Arial"/>
                <w:sz w:val="16"/>
                <w:szCs w:val="16"/>
              </w:rPr>
              <w:t>Methodology</w:t>
            </w:r>
            <w:r w:rsidR="002E6ECA">
              <w:rPr>
                <w:rFonts w:ascii="Arial" w:hAnsi="Arial" w:cs="Arial"/>
                <w:sz w:val="16"/>
                <w:szCs w:val="16"/>
              </w:rPr>
              <w:t xml:space="preserve"> and Quality Control</w:t>
            </w:r>
          </w:p>
          <w:p w14:paraId="083584DE" w14:textId="77AD35D9" w:rsidR="002B0743" w:rsidRDefault="002E6ECA" w:rsidP="002B0743">
            <w:pPr>
              <w:rPr>
                <w:rFonts w:ascii="Arial" w:hAnsi="Arial" w:cs="Arial"/>
                <w:sz w:val="16"/>
                <w:szCs w:val="16"/>
              </w:rPr>
            </w:pPr>
            <w:r>
              <w:rPr>
                <w:rFonts w:ascii="Arial" w:hAnsi="Arial" w:cs="Arial"/>
                <w:sz w:val="16"/>
                <w:szCs w:val="16"/>
              </w:rPr>
              <w:t>References</w:t>
            </w:r>
          </w:p>
          <w:p w14:paraId="488BFAA4" w14:textId="414D5703" w:rsidR="002B0743" w:rsidRPr="002B0743" w:rsidRDefault="002E6ECA" w:rsidP="002E6ECA">
            <w:pPr>
              <w:rPr>
                <w:rFonts w:ascii="Arial" w:hAnsi="Arial" w:cs="Arial"/>
                <w:sz w:val="16"/>
                <w:szCs w:val="16"/>
              </w:rPr>
            </w:pPr>
            <w:r>
              <w:rPr>
                <w:rFonts w:ascii="Arial" w:hAnsi="Arial" w:cs="Arial"/>
                <w:sz w:val="16"/>
                <w:szCs w:val="16"/>
              </w:rPr>
              <w:t>About the Authors</w:t>
            </w:r>
          </w:p>
        </w:tc>
      </w:tr>
    </w:tbl>
    <w:p w14:paraId="186F93D6" w14:textId="6D36C53D" w:rsidR="007D0E3C" w:rsidRDefault="007D0E3C" w:rsidP="00827FA0">
      <w:pPr>
        <w:pStyle w:val="Heading1"/>
      </w:pPr>
      <w:r>
        <w:t>Introduction</w:t>
      </w:r>
    </w:p>
    <w:p w14:paraId="579469CB" w14:textId="093FB394" w:rsidR="00365523" w:rsidRPr="00E50513" w:rsidRDefault="00E50513" w:rsidP="08B37D64">
      <w:pPr>
        <w:pStyle w:val="Heading1"/>
        <w:rPr>
          <w:rFonts w:eastAsiaTheme="minorEastAsia" w:cstheme="minorBidi"/>
          <w:b w:val="0"/>
          <w:bCs w:val="0"/>
          <w:sz w:val="24"/>
          <w:szCs w:val="24"/>
        </w:rPr>
      </w:pPr>
      <w:r w:rsidRPr="08B37D64">
        <w:rPr>
          <w:rFonts w:eastAsiaTheme="minorEastAsia" w:cstheme="minorBidi"/>
          <w:b w:val="0"/>
          <w:bCs w:val="0"/>
          <w:sz w:val="24"/>
          <w:szCs w:val="24"/>
        </w:rPr>
        <w:t>Our team has recently</w:t>
      </w:r>
      <w:r w:rsidR="6FABFA27" w:rsidRPr="08B37D64">
        <w:rPr>
          <w:rFonts w:eastAsiaTheme="minorEastAsia" w:cstheme="minorBidi"/>
          <w:b w:val="0"/>
          <w:bCs w:val="0"/>
          <w:sz w:val="24"/>
          <w:szCs w:val="24"/>
        </w:rPr>
        <w:t xml:space="preserve"> revised and</w:t>
      </w:r>
      <w:r w:rsidRPr="08B37D64">
        <w:rPr>
          <w:rFonts w:eastAsiaTheme="minorEastAsia" w:cstheme="minorBidi"/>
          <w:b w:val="0"/>
          <w:bCs w:val="0"/>
          <w:sz w:val="24"/>
          <w:szCs w:val="24"/>
        </w:rPr>
        <w:t xml:space="preserve"> enhanced </w:t>
      </w:r>
      <w:r w:rsidR="56C79A9A" w:rsidRPr="08B37D64">
        <w:rPr>
          <w:rFonts w:eastAsiaTheme="minorEastAsia" w:cstheme="minorBidi"/>
          <w:b w:val="0"/>
          <w:bCs w:val="0"/>
          <w:sz w:val="24"/>
          <w:szCs w:val="24"/>
        </w:rPr>
        <w:t xml:space="preserve">our </w:t>
      </w:r>
      <w:r w:rsidRPr="08B37D64">
        <w:rPr>
          <w:rFonts w:eastAsiaTheme="minorEastAsia" w:cstheme="minorBidi"/>
          <w:b w:val="0"/>
          <w:bCs w:val="0"/>
          <w:sz w:val="24"/>
          <w:szCs w:val="24"/>
        </w:rPr>
        <w:t xml:space="preserve">ultra-sensitive immunoassay for quantifying soluble Aβ oligomers in human plasma and CSF using </w:t>
      </w:r>
      <w:r w:rsidR="31822E0F" w:rsidRPr="08B37D64">
        <w:rPr>
          <w:rFonts w:eastAsiaTheme="minorEastAsia" w:cstheme="minorBidi"/>
          <w:b w:val="0"/>
          <w:bCs w:val="0"/>
          <w:sz w:val="24"/>
          <w:szCs w:val="24"/>
        </w:rPr>
        <w:t xml:space="preserve">EMD Millipore’s </w:t>
      </w:r>
      <w:r w:rsidRPr="08B37D64">
        <w:rPr>
          <w:rFonts w:eastAsiaTheme="minorEastAsia" w:cstheme="minorBidi"/>
          <w:b w:val="0"/>
          <w:bCs w:val="0"/>
          <w:sz w:val="24"/>
          <w:szCs w:val="24"/>
        </w:rPr>
        <w:t xml:space="preserve">SMCxPRO </w:t>
      </w:r>
      <w:r w:rsidR="059040EA" w:rsidRPr="08B37D64">
        <w:rPr>
          <w:rFonts w:eastAsiaTheme="minorEastAsia" w:cstheme="minorBidi"/>
          <w:b w:val="0"/>
          <w:bCs w:val="0"/>
          <w:sz w:val="24"/>
          <w:szCs w:val="24"/>
        </w:rPr>
        <w:t>platform</w:t>
      </w:r>
      <w:r w:rsidRPr="08B37D64">
        <w:rPr>
          <w:rFonts w:eastAsiaTheme="minorEastAsia" w:cstheme="minorBidi"/>
          <w:b w:val="0"/>
          <w:bCs w:val="0"/>
          <w:sz w:val="24"/>
          <w:szCs w:val="24"/>
        </w:rPr>
        <w:t>.</w:t>
      </w:r>
      <w:r w:rsidRPr="08B37D64">
        <w:rPr>
          <w:rFonts w:eastAsiaTheme="minorEastAsia" w:cstheme="minorBidi"/>
          <w:b w:val="0"/>
          <w:bCs w:val="0"/>
          <w:sz w:val="24"/>
          <w:szCs w:val="24"/>
          <w:vertAlign w:val="superscript"/>
        </w:rPr>
        <w:t>1-</w:t>
      </w:r>
      <w:r w:rsidR="001E01A2" w:rsidRPr="08B37D64">
        <w:rPr>
          <w:rFonts w:eastAsiaTheme="minorEastAsia" w:cstheme="minorBidi"/>
          <w:b w:val="0"/>
          <w:bCs w:val="0"/>
          <w:sz w:val="24"/>
          <w:szCs w:val="24"/>
          <w:vertAlign w:val="superscript"/>
        </w:rPr>
        <w:t>6</w:t>
      </w:r>
      <w:r w:rsidRPr="08B37D64">
        <w:rPr>
          <w:rFonts w:eastAsiaTheme="minorEastAsia" w:cstheme="minorBidi"/>
          <w:b w:val="0"/>
          <w:bCs w:val="0"/>
          <w:sz w:val="24"/>
          <w:szCs w:val="24"/>
        </w:rPr>
        <w:t xml:space="preserve"> This assay offers a long-awaited approach to </w:t>
      </w:r>
      <w:r w:rsidR="002126D9" w:rsidRPr="08B37D64">
        <w:rPr>
          <w:rFonts w:eastAsiaTheme="minorEastAsia" w:cstheme="minorBidi"/>
          <w:b w:val="0"/>
          <w:bCs w:val="0"/>
          <w:sz w:val="24"/>
          <w:szCs w:val="24"/>
        </w:rPr>
        <w:t>detect and</w:t>
      </w:r>
      <w:r w:rsidRPr="08B37D64">
        <w:rPr>
          <w:rFonts w:eastAsiaTheme="minorEastAsia" w:cstheme="minorBidi"/>
          <w:b w:val="0"/>
          <w:bCs w:val="0"/>
          <w:sz w:val="24"/>
          <w:szCs w:val="24"/>
        </w:rPr>
        <w:t xml:space="preserve"> monitor the species believed to be the crucial bioactive form of Aβ in Alzheimer's disease</w:t>
      </w:r>
      <w:r w:rsidR="5BDA77FD" w:rsidRPr="08B37D64">
        <w:rPr>
          <w:rFonts w:eastAsiaTheme="minorEastAsia" w:cstheme="minorBidi"/>
          <w:b w:val="0"/>
          <w:bCs w:val="0"/>
          <w:sz w:val="24"/>
          <w:szCs w:val="24"/>
        </w:rPr>
        <w:t xml:space="preserve"> (AD)</w:t>
      </w:r>
      <w:r w:rsidRPr="08B37D64">
        <w:rPr>
          <w:rFonts w:eastAsiaTheme="minorEastAsia" w:cstheme="minorBidi"/>
          <w:b w:val="0"/>
          <w:bCs w:val="0"/>
          <w:sz w:val="24"/>
          <w:szCs w:val="24"/>
        </w:rPr>
        <w:t xml:space="preserve">, thus </w:t>
      </w:r>
      <w:r w:rsidR="774D68AE" w:rsidRPr="08B37D64">
        <w:rPr>
          <w:rFonts w:eastAsiaTheme="minorEastAsia" w:cstheme="minorBidi"/>
          <w:b w:val="0"/>
          <w:bCs w:val="0"/>
          <w:sz w:val="24"/>
          <w:szCs w:val="24"/>
        </w:rPr>
        <w:t xml:space="preserve">making it a </w:t>
      </w:r>
      <w:r w:rsidRPr="08B37D64">
        <w:rPr>
          <w:rFonts w:eastAsiaTheme="minorEastAsia" w:cstheme="minorBidi"/>
          <w:b w:val="0"/>
          <w:bCs w:val="0"/>
          <w:sz w:val="24"/>
          <w:szCs w:val="24"/>
        </w:rPr>
        <w:t xml:space="preserve">target for disease-modifying therapeutics. This assay has been </w:t>
      </w:r>
      <w:r w:rsidR="14A401A9" w:rsidRPr="08B37D64">
        <w:rPr>
          <w:rFonts w:eastAsiaTheme="minorEastAsia" w:cstheme="minorBidi"/>
          <w:b w:val="0"/>
          <w:bCs w:val="0"/>
          <w:sz w:val="24"/>
          <w:szCs w:val="24"/>
        </w:rPr>
        <w:t xml:space="preserve">moved </w:t>
      </w:r>
      <w:r w:rsidRPr="08B37D64">
        <w:rPr>
          <w:rFonts w:eastAsiaTheme="minorEastAsia" w:cstheme="minorBidi"/>
          <w:b w:val="0"/>
          <w:bCs w:val="0"/>
          <w:sz w:val="24"/>
          <w:szCs w:val="24"/>
        </w:rPr>
        <w:t xml:space="preserve">from beads-based to plate-based, </w:t>
      </w:r>
      <w:r w:rsidR="05209F44" w:rsidRPr="08B37D64">
        <w:rPr>
          <w:rFonts w:eastAsiaTheme="minorEastAsia" w:cstheme="minorBidi"/>
          <w:b w:val="0"/>
          <w:bCs w:val="0"/>
          <w:sz w:val="24"/>
          <w:szCs w:val="24"/>
        </w:rPr>
        <w:t xml:space="preserve">upgrading its stability and condensing its workflow in a </w:t>
      </w:r>
      <w:r w:rsidR="7B3A9BF9" w:rsidRPr="08B37D64">
        <w:rPr>
          <w:rFonts w:eastAsiaTheme="minorEastAsia" w:cstheme="minorBidi"/>
          <w:b w:val="0"/>
          <w:bCs w:val="0"/>
          <w:sz w:val="24"/>
          <w:szCs w:val="24"/>
        </w:rPr>
        <w:t xml:space="preserve">cost-effective manner, </w:t>
      </w:r>
      <w:r w:rsidR="5675157F" w:rsidRPr="08B37D64">
        <w:rPr>
          <w:rFonts w:eastAsiaTheme="minorEastAsia" w:cstheme="minorBidi"/>
          <w:b w:val="0"/>
          <w:bCs w:val="0"/>
          <w:sz w:val="24"/>
          <w:szCs w:val="24"/>
        </w:rPr>
        <w:t xml:space="preserve">that requires significantly less biological sample to perform than the original assay. </w:t>
      </w:r>
    </w:p>
    <w:p w14:paraId="0772A5AB" w14:textId="392B9232" w:rsidR="00FD0387" w:rsidRPr="00F92209" w:rsidRDefault="00827FA0" w:rsidP="00827FA0">
      <w:pPr>
        <w:pStyle w:val="Heading1"/>
      </w:pPr>
      <w:r>
        <w:t>Summary (or Abstract)</w:t>
      </w:r>
      <w:r w:rsidR="00DF0718">
        <w:t xml:space="preserve"> </w:t>
      </w:r>
    </w:p>
    <w:p w14:paraId="1E7AD85E" w14:textId="6BD8E758" w:rsidR="005E25EB" w:rsidRDefault="005E25EB" w:rsidP="08B37D64">
      <w:pPr>
        <w:pStyle w:val="Heading1"/>
        <w:rPr>
          <w:b w:val="0"/>
          <w:bCs w:val="0"/>
          <w:sz w:val="24"/>
          <w:szCs w:val="24"/>
        </w:rPr>
      </w:pPr>
      <w:r w:rsidRPr="08B37D64">
        <w:rPr>
          <w:b w:val="0"/>
          <w:bCs w:val="0"/>
          <w:sz w:val="24"/>
          <w:szCs w:val="24"/>
        </w:rPr>
        <w:t>We sought a set of plasma samples from</w:t>
      </w:r>
      <w:r w:rsidR="27FD14CC" w:rsidRPr="08B37D64">
        <w:rPr>
          <w:b w:val="0"/>
          <w:bCs w:val="0"/>
          <w:sz w:val="24"/>
          <w:szCs w:val="24"/>
        </w:rPr>
        <w:t xml:space="preserve"> participants of</w:t>
      </w:r>
      <w:r w:rsidRPr="08B37D64">
        <w:rPr>
          <w:b w:val="0"/>
          <w:bCs w:val="0"/>
          <w:sz w:val="24"/>
          <w:szCs w:val="24"/>
        </w:rPr>
        <w:t xml:space="preserve"> </w:t>
      </w:r>
      <w:r w:rsidR="35C78818" w:rsidRPr="08B37D64">
        <w:rPr>
          <w:b w:val="0"/>
          <w:bCs w:val="0"/>
          <w:sz w:val="24"/>
          <w:szCs w:val="24"/>
        </w:rPr>
        <w:t>the Alzheimer’s Disease Neuroimaging Initiative (</w:t>
      </w:r>
      <w:r w:rsidRPr="08B37D64">
        <w:rPr>
          <w:b w:val="0"/>
          <w:bCs w:val="0"/>
          <w:sz w:val="24"/>
          <w:szCs w:val="24"/>
        </w:rPr>
        <w:t>ADNI</w:t>
      </w:r>
      <w:r w:rsidR="721DCFF8" w:rsidRPr="08B37D64">
        <w:rPr>
          <w:b w:val="0"/>
          <w:bCs w:val="0"/>
          <w:sz w:val="24"/>
          <w:szCs w:val="24"/>
        </w:rPr>
        <w:t>)</w:t>
      </w:r>
      <w:r w:rsidRPr="08B37D64">
        <w:rPr>
          <w:b w:val="0"/>
          <w:bCs w:val="0"/>
          <w:sz w:val="24"/>
          <w:szCs w:val="24"/>
        </w:rPr>
        <w:t xml:space="preserve"> </w:t>
      </w:r>
      <w:r w:rsidR="00936149" w:rsidRPr="08B37D64">
        <w:rPr>
          <w:b w:val="0"/>
          <w:bCs w:val="0"/>
          <w:sz w:val="24"/>
          <w:szCs w:val="24"/>
        </w:rPr>
        <w:t>spanning the</w:t>
      </w:r>
      <w:r w:rsidRPr="08B37D64">
        <w:rPr>
          <w:b w:val="0"/>
          <w:bCs w:val="0"/>
          <w:sz w:val="24"/>
          <w:szCs w:val="24"/>
        </w:rPr>
        <w:t xml:space="preserve"> full range of AD pathology development. </w:t>
      </w:r>
      <w:r w:rsidR="3A65968A" w:rsidRPr="08B37D64">
        <w:rPr>
          <w:b w:val="0"/>
          <w:bCs w:val="0"/>
          <w:sz w:val="24"/>
          <w:szCs w:val="24"/>
        </w:rPr>
        <w:t>W</w:t>
      </w:r>
      <w:r w:rsidRPr="08B37D64">
        <w:rPr>
          <w:b w:val="0"/>
          <w:bCs w:val="0"/>
          <w:sz w:val="24"/>
          <w:szCs w:val="24"/>
        </w:rPr>
        <w:t>e requested 200 baseline plasma samples from participants from each category of health</w:t>
      </w:r>
      <w:r w:rsidR="469A65CD" w:rsidRPr="08B37D64">
        <w:rPr>
          <w:b w:val="0"/>
          <w:bCs w:val="0"/>
          <w:sz w:val="24"/>
          <w:szCs w:val="24"/>
        </w:rPr>
        <w:t>y</w:t>
      </w:r>
      <w:r w:rsidRPr="08B37D64">
        <w:rPr>
          <w:b w:val="0"/>
          <w:bCs w:val="0"/>
          <w:sz w:val="24"/>
          <w:szCs w:val="24"/>
        </w:rPr>
        <w:t xml:space="preserve"> control, mild cognitive impairment, and Alzheimer disease, who all </w:t>
      </w:r>
      <w:r w:rsidR="2C679A2D" w:rsidRPr="08B37D64">
        <w:rPr>
          <w:b w:val="0"/>
          <w:bCs w:val="0"/>
          <w:sz w:val="24"/>
          <w:szCs w:val="24"/>
        </w:rPr>
        <w:t xml:space="preserve">had received </w:t>
      </w:r>
      <w:r w:rsidRPr="08B37D64">
        <w:rPr>
          <w:b w:val="0"/>
          <w:bCs w:val="0"/>
          <w:sz w:val="24"/>
          <w:szCs w:val="24"/>
        </w:rPr>
        <w:t>at least one amyloid PET</w:t>
      </w:r>
      <w:r w:rsidR="4E99B398" w:rsidRPr="08B37D64">
        <w:rPr>
          <w:b w:val="0"/>
          <w:bCs w:val="0"/>
          <w:sz w:val="24"/>
          <w:szCs w:val="24"/>
        </w:rPr>
        <w:t xml:space="preserve"> scan</w:t>
      </w:r>
      <w:r w:rsidRPr="08B37D64">
        <w:rPr>
          <w:b w:val="0"/>
          <w:bCs w:val="0"/>
          <w:sz w:val="24"/>
          <w:szCs w:val="24"/>
        </w:rPr>
        <w:t>. The following sample size was identified in the ADNI repository: 275 healthy control, 379 mild cognitive impairment, and 131 Alzheimer disease</w:t>
      </w:r>
      <w:r w:rsidR="00433174" w:rsidRPr="08B37D64">
        <w:rPr>
          <w:b w:val="0"/>
          <w:bCs w:val="0"/>
          <w:sz w:val="24"/>
          <w:szCs w:val="24"/>
        </w:rPr>
        <w:t xml:space="preserve">. </w:t>
      </w:r>
    </w:p>
    <w:p w14:paraId="5F73F9A4" w14:textId="77777777" w:rsidR="00433174" w:rsidRPr="00EB6161" w:rsidRDefault="00433174" w:rsidP="00433174">
      <w:pPr>
        <w:rPr>
          <w:rFonts w:eastAsiaTheme="majorEastAsia" w:cstheme="majorBidi"/>
        </w:rPr>
      </w:pPr>
    </w:p>
    <w:p w14:paraId="160A414A" w14:textId="4AF0852B" w:rsidR="00365523" w:rsidRDefault="00EB6161" w:rsidP="08B37D64">
      <w:pPr>
        <w:spacing w:line="259" w:lineRule="auto"/>
        <w:rPr>
          <w:rFonts w:eastAsiaTheme="majorEastAsia" w:cstheme="majorBidi"/>
          <w:b/>
          <w:bCs/>
          <w:sz w:val="28"/>
          <w:szCs w:val="28"/>
        </w:rPr>
      </w:pPr>
      <w:r w:rsidRPr="08B37D64">
        <w:rPr>
          <w:rFonts w:eastAsiaTheme="majorEastAsia" w:cstheme="majorBidi"/>
        </w:rPr>
        <w:t xml:space="preserve">In total, we received 829 </w:t>
      </w:r>
      <w:r w:rsidR="7F71121F" w:rsidRPr="08B37D64">
        <w:rPr>
          <w:rFonts w:eastAsiaTheme="majorEastAsia" w:cstheme="majorBidi"/>
        </w:rPr>
        <w:t>de-identified</w:t>
      </w:r>
      <w:r w:rsidRPr="08B37D64">
        <w:rPr>
          <w:rFonts w:eastAsiaTheme="majorEastAsia" w:cstheme="majorBidi"/>
        </w:rPr>
        <w:t xml:space="preserve"> plasma samples. The oAβ assay</w:t>
      </w:r>
      <w:r w:rsidR="3B86FCD9" w:rsidRPr="08B37D64">
        <w:rPr>
          <w:rFonts w:eastAsiaTheme="majorEastAsia" w:cstheme="majorBidi"/>
        </w:rPr>
        <w:t>s</w:t>
      </w:r>
      <w:r w:rsidRPr="08B37D64">
        <w:rPr>
          <w:rFonts w:eastAsiaTheme="majorEastAsia" w:cstheme="majorBidi"/>
        </w:rPr>
        <w:t xml:space="preserve"> </w:t>
      </w:r>
      <w:r w:rsidR="42431EFD" w:rsidRPr="08B37D64">
        <w:rPr>
          <w:rFonts w:eastAsiaTheme="majorEastAsia" w:cstheme="majorBidi"/>
        </w:rPr>
        <w:t xml:space="preserve">were </w:t>
      </w:r>
      <w:r w:rsidRPr="08B37D64">
        <w:rPr>
          <w:rFonts w:eastAsiaTheme="majorEastAsia" w:cstheme="majorBidi"/>
        </w:rPr>
        <w:t xml:space="preserve">conducted between 7/12/2023 and 7/27/2023. While oAβ </w:t>
      </w:r>
      <w:r w:rsidR="00936149" w:rsidRPr="08B37D64">
        <w:rPr>
          <w:rFonts w:eastAsiaTheme="majorEastAsia" w:cstheme="majorBidi"/>
        </w:rPr>
        <w:t>measurements</w:t>
      </w:r>
      <w:r w:rsidR="50415639" w:rsidRPr="08B37D64">
        <w:rPr>
          <w:rFonts w:eastAsiaTheme="majorEastAsia" w:cstheme="majorBidi"/>
        </w:rPr>
        <w:t xml:space="preserve"> </w:t>
      </w:r>
      <w:r w:rsidRPr="08B37D64">
        <w:rPr>
          <w:rFonts w:eastAsiaTheme="majorEastAsia" w:cstheme="majorBidi"/>
        </w:rPr>
        <w:t>were obtained for all</w:t>
      </w:r>
      <w:r w:rsidR="40BC1139" w:rsidRPr="08B37D64">
        <w:rPr>
          <w:rFonts w:eastAsiaTheme="majorEastAsia" w:cstheme="majorBidi"/>
        </w:rPr>
        <w:t xml:space="preserve"> 829</w:t>
      </w:r>
      <w:r w:rsidRPr="08B37D64">
        <w:rPr>
          <w:rFonts w:eastAsiaTheme="majorEastAsia" w:cstheme="majorBidi"/>
        </w:rPr>
        <w:t xml:space="preserve"> plasma samples, some were derived from fewer than the standard three replicates </w:t>
      </w:r>
      <w:r w:rsidR="1701D386" w:rsidRPr="08B37D64">
        <w:rPr>
          <w:rFonts w:eastAsiaTheme="majorEastAsia" w:cstheme="majorBidi"/>
        </w:rPr>
        <w:t xml:space="preserve">per </w:t>
      </w:r>
      <w:r w:rsidR="00936149" w:rsidRPr="08B37D64">
        <w:rPr>
          <w:rFonts w:eastAsiaTheme="majorEastAsia" w:cstheme="majorBidi"/>
        </w:rPr>
        <w:t>sample (</w:t>
      </w:r>
      <w:r w:rsidRPr="08B37D64">
        <w:rPr>
          <w:rFonts w:eastAsiaTheme="majorEastAsia" w:cstheme="majorBidi"/>
        </w:rPr>
        <w:t xml:space="preserve">details below). Notably, when normalized by the internal </w:t>
      </w:r>
      <w:r w:rsidR="00936149" w:rsidRPr="08B37D64">
        <w:rPr>
          <w:rFonts w:eastAsiaTheme="majorEastAsia" w:cstheme="majorBidi"/>
        </w:rPr>
        <w:t>control, no</w:t>
      </w:r>
      <w:r w:rsidRPr="08B37D64">
        <w:rPr>
          <w:rFonts w:eastAsiaTheme="majorEastAsia" w:cstheme="majorBidi"/>
        </w:rPr>
        <w:t xml:space="preserve"> significant day-to-day variation </w:t>
      </w:r>
      <w:r w:rsidR="29B16490" w:rsidRPr="08B37D64">
        <w:rPr>
          <w:rFonts w:eastAsiaTheme="majorEastAsia" w:cstheme="majorBidi"/>
        </w:rPr>
        <w:t xml:space="preserve">was </w:t>
      </w:r>
      <w:r w:rsidRPr="08B37D64">
        <w:rPr>
          <w:rFonts w:eastAsiaTheme="majorEastAsia" w:cstheme="majorBidi"/>
        </w:rPr>
        <w:t xml:space="preserve">observed. Among the 829 plasma samples, all values exceeded the lower limit of quantitation (LLoQ). </w:t>
      </w:r>
      <w:r w:rsidR="3CB8EF48" w:rsidRPr="08B37D64">
        <w:rPr>
          <w:rFonts w:eastAsiaTheme="majorEastAsia" w:cstheme="majorBidi"/>
        </w:rPr>
        <w:t>All samples were assayed in triplicate, and w</w:t>
      </w:r>
      <w:r w:rsidRPr="08B37D64">
        <w:rPr>
          <w:rFonts w:eastAsiaTheme="majorEastAsia" w:cstheme="majorBidi"/>
        </w:rPr>
        <w:t xml:space="preserve">e identified and excluded </w:t>
      </w:r>
      <w:r w:rsidR="001E01A2" w:rsidRPr="08B37D64">
        <w:rPr>
          <w:rFonts w:eastAsiaTheme="majorEastAsia" w:cstheme="majorBidi"/>
        </w:rPr>
        <w:t>outlier</w:t>
      </w:r>
      <w:r w:rsidR="18C53600" w:rsidRPr="08B37D64">
        <w:rPr>
          <w:rFonts w:eastAsiaTheme="majorEastAsia" w:cstheme="majorBidi"/>
        </w:rPr>
        <w:t>s</w:t>
      </w:r>
      <w:r w:rsidR="001E01A2" w:rsidRPr="08B37D64">
        <w:rPr>
          <w:rFonts w:eastAsiaTheme="majorEastAsia" w:cstheme="majorBidi"/>
        </w:rPr>
        <w:t xml:space="preserve"> from </w:t>
      </w:r>
      <w:r w:rsidRPr="08B37D64">
        <w:rPr>
          <w:rFonts w:eastAsiaTheme="majorEastAsia" w:cstheme="majorBidi"/>
        </w:rPr>
        <w:t xml:space="preserve">40 samples (4.8%), where the outlier value </w:t>
      </w:r>
      <w:r w:rsidR="7A342174" w:rsidRPr="08B37D64">
        <w:rPr>
          <w:rFonts w:eastAsiaTheme="majorEastAsia" w:cstheme="majorBidi"/>
        </w:rPr>
        <w:t xml:space="preserve">was </w:t>
      </w:r>
      <w:r w:rsidR="23CF004E" w:rsidRPr="08B37D64">
        <w:rPr>
          <w:rFonts w:eastAsiaTheme="majorEastAsia" w:cstheme="majorBidi"/>
        </w:rPr>
        <w:t xml:space="preserve">more </w:t>
      </w:r>
      <w:r w:rsidR="26FB2EF3" w:rsidRPr="08B37D64">
        <w:rPr>
          <w:rFonts w:eastAsiaTheme="majorEastAsia" w:cstheme="majorBidi"/>
        </w:rPr>
        <w:t xml:space="preserve">than </w:t>
      </w:r>
      <w:r w:rsidR="23CF004E" w:rsidRPr="08B37D64">
        <w:rPr>
          <w:rFonts w:eastAsiaTheme="majorEastAsia" w:cstheme="majorBidi"/>
        </w:rPr>
        <w:t>three standard deviations awa</w:t>
      </w:r>
      <w:r w:rsidR="62B0BB54" w:rsidRPr="08B37D64">
        <w:rPr>
          <w:rFonts w:eastAsiaTheme="majorEastAsia" w:cstheme="majorBidi"/>
        </w:rPr>
        <w:t>y</w:t>
      </w:r>
      <w:r w:rsidR="23CF004E" w:rsidRPr="08B37D64">
        <w:rPr>
          <w:rFonts w:eastAsiaTheme="majorEastAsia" w:cstheme="majorBidi"/>
        </w:rPr>
        <w:t xml:space="preserve"> from</w:t>
      </w:r>
      <w:r w:rsidR="0BB0322F" w:rsidRPr="08B37D64">
        <w:rPr>
          <w:rFonts w:eastAsiaTheme="majorEastAsia" w:cstheme="majorBidi"/>
        </w:rPr>
        <w:t xml:space="preserve"> </w:t>
      </w:r>
      <w:r w:rsidRPr="08B37D64">
        <w:rPr>
          <w:rFonts w:eastAsiaTheme="majorEastAsia" w:cstheme="majorBidi"/>
        </w:rPr>
        <w:t xml:space="preserve">the mean </w:t>
      </w:r>
      <w:r w:rsidR="47A8BC5A" w:rsidRPr="08B37D64">
        <w:rPr>
          <w:rFonts w:eastAsiaTheme="majorEastAsia" w:cstheme="majorBidi"/>
        </w:rPr>
        <w:t>of the other two measurements</w:t>
      </w:r>
      <w:r w:rsidRPr="08B37D64">
        <w:rPr>
          <w:rFonts w:eastAsiaTheme="majorEastAsia" w:cstheme="majorBidi"/>
        </w:rPr>
        <w:t xml:space="preserve"> Additionally, 21 samples (2.5%) exhibited a coefficient of variation (CV) equal to or greater than 20%.</w:t>
      </w:r>
      <w:r>
        <w:br w:type="page"/>
      </w:r>
    </w:p>
    <w:p w14:paraId="1929690C" w14:textId="0C12749B" w:rsidR="00AD6815" w:rsidRDefault="00F92209" w:rsidP="001E01A2">
      <w:pPr>
        <w:pStyle w:val="Heading1"/>
      </w:pPr>
      <w:r w:rsidRPr="00F92209">
        <w:lastRenderedPageBreak/>
        <w:t>Method</w:t>
      </w:r>
      <w:r w:rsidR="007D0E3C">
        <w:t>ology</w:t>
      </w:r>
      <w:r w:rsidR="00DF0718">
        <w:t xml:space="preserve"> </w:t>
      </w:r>
      <w:r w:rsidR="005B2930">
        <w:t>and Quality Control</w:t>
      </w:r>
    </w:p>
    <w:p w14:paraId="1A451A44" w14:textId="77777777" w:rsidR="001E01A2" w:rsidRPr="001E01A2" w:rsidRDefault="001E01A2" w:rsidP="001E01A2"/>
    <w:p w14:paraId="1E8FB34F" w14:textId="39CF84D3" w:rsidR="00016F20" w:rsidRPr="001E01A2" w:rsidRDefault="001E01A2" w:rsidP="001E01A2">
      <w:pPr>
        <w:rPr>
          <w:b/>
          <w:bCs/>
        </w:rPr>
      </w:pPr>
      <w:r w:rsidRPr="08B37D64">
        <w:rPr>
          <w:b/>
          <w:bCs/>
        </w:rPr>
        <w:t xml:space="preserve">Generation of Aβ oligomer specific antibodies 71A1 </w:t>
      </w:r>
    </w:p>
    <w:p w14:paraId="2581E767" w14:textId="77777777" w:rsidR="00016F20" w:rsidRDefault="00016F20" w:rsidP="00016F20">
      <w:pPr>
        <w:pStyle w:val="NormalWeb"/>
        <w:shd w:val="clear" w:color="auto" w:fill="FFFFFF"/>
        <w:spacing w:before="0" w:beforeAutospacing="0" w:after="420" w:afterAutospacing="0"/>
        <w:contextualSpacing/>
        <w:rPr>
          <w:color w:val="222222"/>
          <w:vertAlign w:val="superscript"/>
        </w:rPr>
      </w:pPr>
      <w:r w:rsidRPr="00016F20">
        <w:rPr>
          <w:color w:val="222222"/>
        </w:rPr>
        <w:t xml:space="preserve">Monoclonal antibodies 71A1 (a subclone of the parent clone 7A1a) </w:t>
      </w:r>
      <w:r>
        <w:rPr>
          <w:color w:val="222222"/>
        </w:rPr>
        <w:t>was</w:t>
      </w:r>
      <w:r w:rsidRPr="00016F20">
        <w:rPr>
          <w:color w:val="222222"/>
        </w:rPr>
        <w:t xml:space="preserve"> developed using a synthetic conformational peptide immunogen designed to simulate the three-dimensional structure formed upon monomeric Aβ dimerization.</w:t>
      </w:r>
      <w:r w:rsidRPr="00016F20">
        <w:rPr>
          <w:color w:val="222222"/>
          <w:vertAlign w:val="superscript"/>
        </w:rPr>
        <w:t>7</w:t>
      </w:r>
    </w:p>
    <w:p w14:paraId="181D9418" w14:textId="77777777" w:rsidR="00936149" w:rsidRDefault="00936149" w:rsidP="00016F20">
      <w:pPr>
        <w:pStyle w:val="NormalWeb"/>
        <w:shd w:val="clear" w:color="auto" w:fill="FFFFFF"/>
        <w:spacing w:before="0" w:beforeAutospacing="0" w:after="420" w:afterAutospacing="0"/>
        <w:contextualSpacing/>
        <w:rPr>
          <w:color w:val="222222"/>
          <w:vertAlign w:val="superscript"/>
        </w:rPr>
      </w:pPr>
    </w:p>
    <w:p w14:paraId="64E2FB4C" w14:textId="3861B9B1" w:rsidR="00016F20" w:rsidRDefault="00FD6134" w:rsidP="00016F20">
      <w:pPr>
        <w:pStyle w:val="NormalWeb"/>
        <w:shd w:val="clear" w:color="auto" w:fill="FFFFFF"/>
        <w:spacing w:before="0" w:beforeAutospacing="0" w:after="420" w:afterAutospacing="0"/>
        <w:contextualSpacing/>
        <w:rPr>
          <w:rFonts w:eastAsiaTheme="minorEastAsia" w:cstheme="minorBidi"/>
          <w:b/>
          <w:bCs/>
        </w:rPr>
      </w:pPr>
      <w:r w:rsidRPr="00FD6134">
        <w:rPr>
          <w:rFonts w:eastAsiaTheme="minorEastAsia" w:cstheme="minorBidi"/>
          <w:b/>
          <w:bCs/>
        </w:rPr>
        <w:t>Calibrators</w:t>
      </w:r>
    </w:p>
    <w:p w14:paraId="6BEB8FD6" w14:textId="77777777" w:rsidR="00016F20" w:rsidRDefault="00016F20" w:rsidP="00016F20">
      <w:pPr>
        <w:pStyle w:val="NormalWeb"/>
        <w:shd w:val="clear" w:color="auto" w:fill="FFFFFF"/>
        <w:spacing w:before="0" w:beforeAutospacing="0" w:after="420" w:afterAutospacing="0"/>
        <w:contextualSpacing/>
        <w:rPr>
          <w:rFonts w:eastAsiaTheme="minorEastAsia" w:cstheme="minorBidi"/>
          <w:b/>
          <w:bCs/>
        </w:rPr>
      </w:pPr>
    </w:p>
    <w:p w14:paraId="6D57DAD5" w14:textId="77777777" w:rsidR="00016F20" w:rsidRDefault="001E01A2" w:rsidP="00016F20">
      <w:pPr>
        <w:pStyle w:val="NormalWeb"/>
        <w:shd w:val="clear" w:color="auto" w:fill="FFFFFF"/>
        <w:spacing w:before="0" w:beforeAutospacing="0" w:after="420" w:afterAutospacing="0"/>
        <w:contextualSpacing/>
        <w:rPr>
          <w:rFonts w:eastAsiaTheme="majorEastAsia" w:cstheme="majorBidi"/>
          <w:vertAlign w:val="superscript"/>
        </w:rPr>
      </w:pPr>
      <w:r w:rsidRPr="001E01A2">
        <w:rPr>
          <w:rFonts w:eastAsiaTheme="majorEastAsia" w:cstheme="majorBidi"/>
        </w:rPr>
        <w:t>Amyloid-β derived diffusible ligands (ADDLs) [</w:t>
      </w:r>
      <w:hyperlink r:id="rId11" w:anchor="R1" w:history="1">
        <w:r w:rsidRPr="001E01A2">
          <w:rPr>
            <w:rFonts w:eastAsiaTheme="majorEastAsia" w:cstheme="majorBidi"/>
          </w:rPr>
          <w:t>1</w:t>
        </w:r>
      </w:hyperlink>
      <w:r w:rsidRPr="001E01A2">
        <w:rPr>
          <w:rFonts w:eastAsiaTheme="majorEastAsia" w:cstheme="majorBidi"/>
        </w:rPr>
        <w:t>] and S26C-dimer were prepared as per previous reports.</w:t>
      </w:r>
      <w:r w:rsidRPr="00FD6134">
        <w:rPr>
          <w:rFonts w:eastAsiaTheme="majorEastAsia" w:cstheme="majorBidi"/>
          <w:vertAlign w:val="superscript"/>
        </w:rPr>
        <w:t>8</w:t>
      </w:r>
    </w:p>
    <w:p w14:paraId="7D1DFE85" w14:textId="77777777" w:rsidR="00016F20" w:rsidRDefault="00016F20" w:rsidP="00016F20">
      <w:pPr>
        <w:pStyle w:val="NormalWeb"/>
        <w:shd w:val="clear" w:color="auto" w:fill="FFFFFF"/>
        <w:spacing w:before="0" w:beforeAutospacing="0" w:after="420" w:afterAutospacing="0"/>
        <w:contextualSpacing/>
        <w:rPr>
          <w:rFonts w:eastAsiaTheme="majorEastAsia" w:cstheme="majorBidi"/>
          <w:vertAlign w:val="superscript"/>
        </w:rPr>
      </w:pPr>
    </w:p>
    <w:p w14:paraId="76F90EB5" w14:textId="5E7301EE" w:rsidR="001E01A2" w:rsidRPr="00016F20" w:rsidRDefault="001E01A2" w:rsidP="00016F20">
      <w:pPr>
        <w:pStyle w:val="NormalWeb"/>
        <w:shd w:val="clear" w:color="auto" w:fill="FFFFFF"/>
        <w:spacing w:before="0" w:beforeAutospacing="0" w:after="420" w:afterAutospacing="0"/>
        <w:contextualSpacing/>
        <w:rPr>
          <w:color w:val="222222"/>
        </w:rPr>
      </w:pPr>
      <w:r w:rsidRPr="001E01A2">
        <w:rPr>
          <w:b/>
          <w:bCs/>
        </w:rPr>
        <w:t>SMCxPRO Immunoassay</w:t>
      </w:r>
    </w:p>
    <w:p w14:paraId="5B6EA792" w14:textId="77777777" w:rsidR="00936149" w:rsidRDefault="00936149" w:rsidP="08B37D64">
      <w:pPr>
        <w:pStyle w:val="NormalWeb"/>
        <w:shd w:val="clear" w:color="auto" w:fill="FFFFFF" w:themeFill="background1"/>
        <w:spacing w:before="0" w:beforeAutospacing="0" w:after="420" w:afterAutospacing="0"/>
        <w:contextualSpacing/>
        <w:rPr>
          <w:color w:val="222222"/>
        </w:rPr>
      </w:pPr>
    </w:p>
    <w:p w14:paraId="0A20BD3F" w14:textId="1BD87E36" w:rsidR="0091452A" w:rsidRDefault="001E01A2" w:rsidP="08B37D64">
      <w:pPr>
        <w:pStyle w:val="NormalWeb"/>
        <w:shd w:val="clear" w:color="auto" w:fill="FFFFFF" w:themeFill="background1"/>
        <w:spacing w:before="0" w:beforeAutospacing="0" w:after="420" w:afterAutospacing="0"/>
        <w:contextualSpacing/>
        <w:rPr>
          <w:color w:val="222222"/>
        </w:rPr>
      </w:pPr>
      <w:r w:rsidRPr="08B37D64">
        <w:rPr>
          <w:color w:val="222222"/>
        </w:rPr>
        <w:t xml:space="preserve">The SMCxPRO (platform </w:t>
      </w:r>
      <w:r w:rsidR="727FF9D6" w:rsidRPr="08B37D64">
        <w:rPr>
          <w:color w:val="222222"/>
        </w:rPr>
        <w:t>EMD</w:t>
      </w:r>
      <w:r w:rsidRPr="08B37D64">
        <w:rPr>
          <w:color w:val="222222"/>
        </w:rPr>
        <w:t xml:space="preserve"> Millipore) is based on single-molecule-counting technology </w:t>
      </w:r>
      <w:r w:rsidR="2ABE48A4" w:rsidRPr="08B37D64">
        <w:rPr>
          <w:color w:val="222222"/>
        </w:rPr>
        <w:t xml:space="preserve">that </w:t>
      </w:r>
      <w:r w:rsidRPr="08B37D64">
        <w:rPr>
          <w:color w:val="222222"/>
        </w:rPr>
        <w:t>typically allows a 20- to 100-fold increase in sensitivity compared with traditional</w:t>
      </w:r>
      <w:r w:rsidR="2A0D90DF" w:rsidRPr="08B37D64">
        <w:rPr>
          <w:color w:val="222222"/>
        </w:rPr>
        <w:t xml:space="preserve"> ELISA</w:t>
      </w:r>
      <w:r w:rsidRPr="08B37D64">
        <w:rPr>
          <w:color w:val="222222"/>
        </w:rPr>
        <w:t xml:space="preserve"> detection systems. Biotinylated capture mAbs (71A1) were conjugated to streptavidin</w:t>
      </w:r>
      <w:r w:rsidR="27CA75D2" w:rsidRPr="08B37D64">
        <w:rPr>
          <w:color w:val="222222"/>
        </w:rPr>
        <w:t>-coated 96-well</w:t>
      </w:r>
      <w:r w:rsidRPr="08B37D64">
        <w:rPr>
          <w:color w:val="222222"/>
        </w:rPr>
        <w:t xml:space="preserve"> </w:t>
      </w:r>
      <w:r w:rsidR="3124DF08" w:rsidRPr="08B37D64">
        <w:rPr>
          <w:color w:val="222222"/>
        </w:rPr>
        <w:t>micro</w:t>
      </w:r>
      <w:r w:rsidR="00FD6134" w:rsidRPr="08B37D64">
        <w:rPr>
          <w:color w:val="222222"/>
        </w:rPr>
        <w:t>plate</w:t>
      </w:r>
      <w:r w:rsidR="55096DDB" w:rsidRPr="08B37D64">
        <w:rPr>
          <w:color w:val="222222"/>
        </w:rPr>
        <w:t>s</w:t>
      </w:r>
      <w:r w:rsidR="00FD6134" w:rsidRPr="08B37D64">
        <w:rPr>
          <w:color w:val="222222"/>
        </w:rPr>
        <w:t xml:space="preserve"> (</w:t>
      </w:r>
      <w:r w:rsidR="7A2679E1" w:rsidRPr="08B37D64">
        <w:rPr>
          <w:color w:val="222222"/>
        </w:rPr>
        <w:t xml:space="preserve">Pierce </w:t>
      </w:r>
      <w:r w:rsidRPr="08B37D64">
        <w:rPr>
          <w:color w:val="222222"/>
        </w:rPr>
        <w:t xml:space="preserve">Thermo Fisher Scientific) at </w:t>
      </w:r>
      <w:r w:rsidR="6BE65DDF" w:rsidRPr="08B37D64">
        <w:rPr>
          <w:color w:val="222222"/>
        </w:rPr>
        <w:t>0.</w:t>
      </w:r>
      <w:r w:rsidR="2A8B4311" w:rsidRPr="08B37D64">
        <w:rPr>
          <w:color w:val="222222"/>
        </w:rPr>
        <w:t>15</w:t>
      </w:r>
      <w:r w:rsidR="2525E093" w:rsidRPr="08B37D64">
        <w:rPr>
          <w:color w:val="222222"/>
        </w:rPr>
        <w:t xml:space="preserve"> </w:t>
      </w:r>
      <w:r w:rsidR="00FD6134" w:rsidRPr="08B37D64">
        <w:rPr>
          <w:color w:val="222222"/>
        </w:rPr>
        <w:t>ug</w:t>
      </w:r>
      <w:r w:rsidR="7E95EEE9" w:rsidRPr="08B37D64">
        <w:rPr>
          <w:color w:val="222222"/>
        </w:rPr>
        <w:t xml:space="preserve"> per well</w:t>
      </w:r>
      <w:r w:rsidR="415CF036" w:rsidRPr="08B37D64">
        <w:rPr>
          <w:color w:val="222222"/>
        </w:rPr>
        <w:t xml:space="preserve"> overnight</w:t>
      </w:r>
      <w:r w:rsidRPr="08B37D64">
        <w:rPr>
          <w:color w:val="222222"/>
        </w:rPr>
        <w:t xml:space="preserve">. </w:t>
      </w:r>
      <w:r w:rsidR="00016F20" w:rsidRPr="08B37D64">
        <w:rPr>
          <w:color w:val="222222"/>
        </w:rPr>
        <w:t xml:space="preserve">A three-step </w:t>
      </w:r>
      <w:r w:rsidR="3ABAC729" w:rsidRPr="08B37D64">
        <w:rPr>
          <w:color w:val="222222"/>
        </w:rPr>
        <w:t xml:space="preserve">assay </w:t>
      </w:r>
      <w:r w:rsidR="00016F20" w:rsidRPr="08B37D64">
        <w:rPr>
          <w:color w:val="222222"/>
        </w:rPr>
        <w:t xml:space="preserve">protocol was executed </w:t>
      </w:r>
      <w:r w:rsidR="6F128C84" w:rsidRPr="08B37D64">
        <w:rPr>
          <w:color w:val="222222"/>
        </w:rPr>
        <w:t>to quantify oligomeric A</w:t>
      </w:r>
      <w:r w:rsidR="00936149" w:rsidRPr="08B37D64">
        <w:rPr>
          <w:color w:val="222222"/>
        </w:rPr>
        <w:t>β.</w:t>
      </w:r>
      <w:r w:rsidR="00FD6134" w:rsidRPr="08B37D64">
        <w:rPr>
          <w:color w:val="222222"/>
        </w:rPr>
        <w:t xml:space="preserve"> In step 1, 50 μl of standard, blank, or </w:t>
      </w:r>
      <w:r w:rsidR="32E8FAD1" w:rsidRPr="08B37D64">
        <w:rPr>
          <w:color w:val="222222"/>
        </w:rPr>
        <w:t xml:space="preserve">biofluid </w:t>
      </w:r>
      <w:r w:rsidR="00FD6134" w:rsidRPr="08B37D64">
        <w:rPr>
          <w:color w:val="222222"/>
        </w:rPr>
        <w:t xml:space="preserve">were added to plates conjugated with capture antibody and </w:t>
      </w:r>
      <w:r w:rsidR="77704444" w:rsidRPr="08B37D64">
        <w:rPr>
          <w:color w:val="222222"/>
        </w:rPr>
        <w:t xml:space="preserve">incubated at 600 rpm on a shaker </w:t>
      </w:r>
      <w:r w:rsidR="00FD6134" w:rsidRPr="08B37D64">
        <w:rPr>
          <w:color w:val="222222"/>
        </w:rPr>
        <w:t>for 30 min</w:t>
      </w:r>
      <w:r w:rsidR="2DB771B6" w:rsidRPr="08B37D64">
        <w:rPr>
          <w:color w:val="222222"/>
        </w:rPr>
        <w:t xml:space="preserve"> at RT</w:t>
      </w:r>
      <w:r w:rsidR="00FD6134" w:rsidRPr="08B37D64">
        <w:rPr>
          <w:color w:val="222222"/>
        </w:rPr>
        <w:t>. The plates were washed</w:t>
      </w:r>
      <w:r w:rsidR="2365986C" w:rsidRPr="08B37D64">
        <w:rPr>
          <w:color w:val="222222"/>
        </w:rPr>
        <w:t xml:space="preserve"> three times</w:t>
      </w:r>
      <w:r w:rsidR="00FD6134" w:rsidRPr="08B37D64">
        <w:rPr>
          <w:color w:val="222222"/>
        </w:rPr>
        <w:t xml:space="preserve"> with</w:t>
      </w:r>
      <w:r w:rsidR="2C82646D" w:rsidRPr="08B37D64">
        <w:rPr>
          <w:color w:val="222222"/>
        </w:rPr>
        <w:t xml:space="preserve"> </w:t>
      </w:r>
      <w:r w:rsidR="00FD6134" w:rsidRPr="08B37D64">
        <w:rPr>
          <w:color w:val="222222"/>
        </w:rPr>
        <w:t>TBS</w:t>
      </w:r>
      <w:r w:rsidR="6F6005C1" w:rsidRPr="08B37D64">
        <w:rPr>
          <w:color w:val="222222"/>
        </w:rPr>
        <w:t>-</w:t>
      </w:r>
      <w:r w:rsidR="00FD6134" w:rsidRPr="08B37D64">
        <w:rPr>
          <w:color w:val="222222"/>
        </w:rPr>
        <w:t>T</w:t>
      </w:r>
      <w:r w:rsidR="0091452A" w:rsidRPr="08B37D64">
        <w:rPr>
          <w:color w:val="222222"/>
        </w:rPr>
        <w:t xml:space="preserve"> (</w:t>
      </w:r>
      <w:r w:rsidR="3BBAAC07" w:rsidRPr="08B37D64">
        <w:rPr>
          <w:color w:val="222222"/>
        </w:rPr>
        <w:t xml:space="preserve">10 mM sodium phosphate, 0.15 M NaCl, </w:t>
      </w:r>
      <w:r w:rsidR="0091452A" w:rsidRPr="08B37D64">
        <w:rPr>
          <w:color w:val="222222"/>
        </w:rPr>
        <w:t>0.05%</w:t>
      </w:r>
      <w:r w:rsidR="63425ECB" w:rsidRPr="08B37D64">
        <w:rPr>
          <w:color w:val="222222"/>
        </w:rPr>
        <w:t xml:space="preserve"> Tween</w:t>
      </w:r>
      <w:r w:rsidR="4D2FF1D4" w:rsidRPr="08B37D64">
        <w:rPr>
          <w:color w:val="222222"/>
        </w:rPr>
        <w:t>, pH 7.5</w:t>
      </w:r>
      <w:r w:rsidR="0091452A" w:rsidRPr="08B37D64">
        <w:rPr>
          <w:color w:val="222222"/>
        </w:rPr>
        <w:t>)</w:t>
      </w:r>
      <w:r w:rsidR="02B80B05" w:rsidRPr="08B37D64">
        <w:rPr>
          <w:color w:val="222222"/>
        </w:rPr>
        <w:t xml:space="preserve"> using a Hydroflex plate washer (Tecan Group AG)</w:t>
      </w:r>
      <w:r w:rsidR="00FD6134" w:rsidRPr="08B37D64">
        <w:rPr>
          <w:color w:val="222222"/>
        </w:rPr>
        <w:t xml:space="preserve">. In step 2, </w:t>
      </w:r>
      <w:r w:rsidR="0091452A" w:rsidRPr="08B37D64">
        <w:rPr>
          <w:color w:val="222222"/>
        </w:rPr>
        <w:t xml:space="preserve">fluorescently labeled (Alexa-647 dye) detection antibody 3D6 (50 μL, 1:50k) </w:t>
      </w:r>
      <w:r w:rsidR="00FD6134" w:rsidRPr="08B37D64">
        <w:rPr>
          <w:color w:val="222222"/>
        </w:rPr>
        <w:t xml:space="preserve">was added and incubated for </w:t>
      </w:r>
      <w:r w:rsidR="0091452A" w:rsidRPr="08B37D64">
        <w:rPr>
          <w:color w:val="222222"/>
        </w:rPr>
        <w:t>60</w:t>
      </w:r>
      <w:r w:rsidR="00FD6134" w:rsidRPr="08B37D64">
        <w:rPr>
          <w:color w:val="222222"/>
        </w:rPr>
        <w:t> min</w:t>
      </w:r>
      <w:r w:rsidR="091EA169" w:rsidRPr="08B37D64">
        <w:rPr>
          <w:color w:val="222222"/>
        </w:rPr>
        <w:t xml:space="preserve"> at 600 rpm</w:t>
      </w:r>
      <w:r w:rsidR="0300F7C9" w:rsidRPr="08B37D64">
        <w:rPr>
          <w:color w:val="222222"/>
        </w:rPr>
        <w:t xml:space="preserve"> using a Jitterbug shaker (Boekel) in dark</w:t>
      </w:r>
      <w:r w:rsidR="00FD6134" w:rsidRPr="08B37D64">
        <w:rPr>
          <w:color w:val="222222"/>
        </w:rPr>
        <w:t xml:space="preserve">, and the </w:t>
      </w:r>
      <w:r w:rsidR="0091452A" w:rsidRPr="08B37D64">
        <w:rPr>
          <w:color w:val="222222"/>
        </w:rPr>
        <w:t>plates</w:t>
      </w:r>
      <w:r w:rsidR="00FD6134" w:rsidRPr="08B37D64">
        <w:rPr>
          <w:color w:val="222222"/>
        </w:rPr>
        <w:t xml:space="preserve"> were washed three times. In step 3, </w:t>
      </w:r>
      <w:r w:rsidR="0091452A" w:rsidRPr="08B37D64">
        <w:rPr>
          <w:color w:val="222222"/>
        </w:rPr>
        <w:t xml:space="preserve">fluorescently labeled 3D6 detection antibody was released by shaking in </w:t>
      </w:r>
      <w:r w:rsidR="7E67A4C3" w:rsidRPr="08B37D64">
        <w:rPr>
          <w:color w:val="222222"/>
        </w:rPr>
        <w:t xml:space="preserve">EMD Millipore’s </w:t>
      </w:r>
      <w:r w:rsidR="0091452A" w:rsidRPr="08B37D64">
        <w:rPr>
          <w:color w:val="222222"/>
        </w:rPr>
        <w:t>Elution Buffer B (25 μL/well) for 15 min at 25°C. 25 μL of the eluates were then transferred to</w:t>
      </w:r>
      <w:r w:rsidR="50ECEA94" w:rsidRPr="08B37D64">
        <w:rPr>
          <w:color w:val="222222"/>
        </w:rPr>
        <w:t xml:space="preserve"> a</w:t>
      </w:r>
      <w:r w:rsidR="0091452A" w:rsidRPr="08B37D64">
        <w:rPr>
          <w:color w:val="222222"/>
        </w:rPr>
        <w:t xml:space="preserve"> clean 96-well </w:t>
      </w:r>
      <w:r w:rsidR="252F3FA1" w:rsidRPr="08B37D64">
        <w:rPr>
          <w:color w:val="222222"/>
        </w:rPr>
        <w:t>micro</w:t>
      </w:r>
      <w:r w:rsidR="0091452A" w:rsidRPr="08B37D64">
        <w:rPr>
          <w:color w:val="222222"/>
        </w:rPr>
        <w:t>plate containing the</w:t>
      </w:r>
      <w:r w:rsidR="38A4189C" w:rsidRPr="08B37D64">
        <w:rPr>
          <w:color w:val="222222"/>
        </w:rPr>
        <w:t xml:space="preserve"> Millipore</w:t>
      </w:r>
      <w:r w:rsidR="0091452A" w:rsidRPr="08B37D64">
        <w:rPr>
          <w:color w:val="222222"/>
        </w:rPr>
        <w:t xml:space="preserve"> Neutralization Buffer D (25 μL/well). The neutralized sample (25 μL/well) was then transferred to a black 384-well-read plate (Aurora) and read </w:t>
      </w:r>
      <w:r w:rsidR="36A5F391" w:rsidRPr="08B37D64">
        <w:rPr>
          <w:color w:val="222222"/>
        </w:rPr>
        <w:t>on</w:t>
      </w:r>
      <w:r w:rsidR="0091452A" w:rsidRPr="08B37D64">
        <w:rPr>
          <w:color w:val="222222"/>
        </w:rPr>
        <w:t xml:space="preserve">the SMCxPRO </w:t>
      </w:r>
      <w:r w:rsidR="12ADFD8F" w:rsidRPr="08B37D64">
        <w:rPr>
          <w:color w:val="222222"/>
        </w:rPr>
        <w:t>plate reader</w:t>
      </w:r>
      <w:r w:rsidR="0091452A" w:rsidRPr="08B37D64">
        <w:rPr>
          <w:color w:val="222222"/>
        </w:rPr>
        <w:t>. When fluorescently labeled antibodies are excited by a 642 nm laser and pass</w:t>
      </w:r>
      <w:r w:rsidR="09AF6B84" w:rsidRPr="08B37D64">
        <w:rPr>
          <w:color w:val="222222"/>
        </w:rPr>
        <w:t>es</w:t>
      </w:r>
      <w:r w:rsidR="0091452A" w:rsidRPr="08B37D64">
        <w:rPr>
          <w:color w:val="222222"/>
        </w:rPr>
        <w:t xml:space="preserve"> through the interrogation space, the emit</w:t>
      </w:r>
      <w:r w:rsidR="1C5EFC8E" w:rsidRPr="08B37D64">
        <w:rPr>
          <w:color w:val="222222"/>
        </w:rPr>
        <w:t>ted</w:t>
      </w:r>
      <w:r w:rsidR="0091452A" w:rsidRPr="08B37D64">
        <w:rPr>
          <w:color w:val="222222"/>
        </w:rPr>
        <w:t xml:space="preserve"> </w:t>
      </w:r>
      <w:r w:rsidR="002CBB83" w:rsidRPr="08B37D64">
        <w:rPr>
          <w:color w:val="222222"/>
        </w:rPr>
        <w:t xml:space="preserve">fluorescence </w:t>
      </w:r>
      <w:r w:rsidR="0091452A" w:rsidRPr="08B37D64">
        <w:rPr>
          <w:color w:val="222222"/>
        </w:rPr>
        <w:t xml:space="preserve">is measured </w:t>
      </w:r>
      <w:r w:rsidR="35FC5440" w:rsidRPr="08B37D64">
        <w:rPr>
          <w:color w:val="222222"/>
        </w:rPr>
        <w:t xml:space="preserve">by </w:t>
      </w:r>
      <w:r w:rsidR="0091452A" w:rsidRPr="08B37D64">
        <w:rPr>
          <w:color w:val="222222"/>
        </w:rPr>
        <w:t>a confocal microscope lens and a photon detector. The output from the detector is a train of pulses, with each pulse representing one photon that was detected. The lower limit of reliable quantification (LLoQ) was defined as the lowest back</w:t>
      </w:r>
      <w:r w:rsidR="549D4B5B" w:rsidRPr="08B37D64">
        <w:rPr>
          <w:color w:val="222222"/>
        </w:rPr>
        <w:t>-</w:t>
      </w:r>
      <w:r w:rsidR="0091452A" w:rsidRPr="08B37D64">
        <w:rPr>
          <w:color w:val="222222"/>
        </w:rPr>
        <w:t>interpolated standard that provides a signal two-fold the background with a percentage of recovery calculated between 80% and 100% and coefficient of variance (CV) ≤20%.</w:t>
      </w:r>
    </w:p>
    <w:p w14:paraId="42FCE446" w14:textId="77777777" w:rsidR="00AD6815" w:rsidRDefault="00AD6815" w:rsidP="00AD6815">
      <w:pPr>
        <w:pStyle w:val="NormalWeb"/>
        <w:shd w:val="clear" w:color="auto" w:fill="FFFFFF"/>
        <w:spacing w:before="0" w:beforeAutospacing="0" w:after="420" w:afterAutospacing="0"/>
        <w:contextualSpacing/>
        <w:rPr>
          <w:color w:val="222222"/>
        </w:rPr>
      </w:pPr>
    </w:p>
    <w:p w14:paraId="74FAA8B9" w14:textId="2E6961C5" w:rsidR="22A6A383" w:rsidRDefault="00AD6815" w:rsidP="002126D9">
      <w:pPr>
        <w:pStyle w:val="NormalWeb"/>
        <w:spacing w:before="0" w:beforeAutospacing="0" w:after="420" w:afterAutospacing="0"/>
        <w:contextualSpacing/>
        <w:rPr>
          <w:rFonts w:eastAsiaTheme="majorEastAsia" w:cstheme="majorBidi"/>
        </w:rPr>
      </w:pPr>
      <w:r w:rsidRPr="08B37D64">
        <w:rPr>
          <w:color w:val="222222"/>
        </w:rPr>
        <w:t xml:space="preserve">The samples were </w:t>
      </w:r>
      <w:r w:rsidR="616FDFBE" w:rsidRPr="08B37D64">
        <w:rPr>
          <w:color w:val="222222"/>
        </w:rPr>
        <w:t xml:space="preserve">assayed </w:t>
      </w:r>
      <w:r w:rsidRPr="08B37D64">
        <w:rPr>
          <w:color w:val="222222"/>
        </w:rPr>
        <w:t xml:space="preserve">over ten runs spanning fifteen days, with pooled-plasma internal </w:t>
      </w:r>
      <w:r w:rsidR="0065397E" w:rsidRPr="08B37D64">
        <w:rPr>
          <w:color w:val="222222"/>
        </w:rPr>
        <w:t>controls</w:t>
      </w:r>
      <w:r w:rsidRPr="08B37D64">
        <w:rPr>
          <w:color w:val="222222"/>
        </w:rPr>
        <w:t xml:space="preserve"> </w:t>
      </w:r>
      <w:r w:rsidR="3E0C1CBA" w:rsidRPr="08B37D64">
        <w:rPr>
          <w:color w:val="222222"/>
        </w:rPr>
        <w:t xml:space="preserve">assayed concurrently with ADNI samples </w:t>
      </w:r>
      <w:r w:rsidRPr="08B37D64">
        <w:rPr>
          <w:color w:val="222222"/>
        </w:rPr>
        <w:t xml:space="preserve">on each plate to ensure reproducibility across runs. All patient plasma samples were run in triplicate at a </w:t>
      </w:r>
      <w:r w:rsidR="535C79E9" w:rsidRPr="08B37D64">
        <w:rPr>
          <w:color w:val="222222"/>
        </w:rPr>
        <w:t>8x</w:t>
      </w:r>
      <w:r w:rsidRPr="08B37D64">
        <w:rPr>
          <w:color w:val="222222"/>
        </w:rPr>
        <w:t xml:space="preserve"> dilution. The average CV for all samples was </w:t>
      </w:r>
      <w:r w:rsidR="00973E26" w:rsidRPr="08B37D64">
        <w:rPr>
          <w:color w:val="222222"/>
        </w:rPr>
        <w:t>9</w:t>
      </w:r>
      <w:r w:rsidRPr="08B37D64">
        <w:rPr>
          <w:color w:val="222222"/>
        </w:rPr>
        <w:t>% (range 0-</w:t>
      </w:r>
      <w:r w:rsidR="00973E26" w:rsidRPr="08B37D64">
        <w:rPr>
          <w:color w:val="222222"/>
        </w:rPr>
        <w:t>46</w:t>
      </w:r>
      <w:r w:rsidRPr="08B37D64">
        <w:rPr>
          <w:color w:val="222222"/>
        </w:rPr>
        <w:t xml:space="preserve">%; with </w:t>
      </w:r>
      <w:r w:rsidR="00973E26" w:rsidRPr="08B37D64">
        <w:rPr>
          <w:color w:val="222222"/>
        </w:rPr>
        <w:t>21</w:t>
      </w:r>
      <w:r w:rsidR="05499BCB" w:rsidRPr="08B37D64">
        <w:rPr>
          <w:color w:val="222222"/>
        </w:rPr>
        <w:t xml:space="preserve">/829 </w:t>
      </w:r>
      <w:r w:rsidRPr="08B37D64">
        <w:rPr>
          <w:color w:val="222222"/>
        </w:rPr>
        <w:t xml:space="preserve">above the ideal 20%). The average CV for the internal control was 8%. </w:t>
      </w:r>
      <w:r w:rsidR="00FE5744" w:rsidRPr="08B37D64">
        <w:rPr>
          <w:color w:val="222222"/>
        </w:rPr>
        <w:t xml:space="preserve">There are </w:t>
      </w:r>
      <w:r w:rsidR="00FE5744" w:rsidRPr="08B37D64">
        <w:rPr>
          <w:rFonts w:eastAsiaTheme="majorEastAsia" w:cstheme="majorBidi"/>
        </w:rPr>
        <w:t xml:space="preserve">40 samples with </w:t>
      </w:r>
      <w:r w:rsidR="05CDCDED" w:rsidRPr="08B37D64">
        <w:rPr>
          <w:rFonts w:eastAsiaTheme="majorEastAsia" w:cstheme="majorBidi"/>
        </w:rPr>
        <w:t xml:space="preserve">only </w:t>
      </w:r>
      <w:r w:rsidR="00FE5744" w:rsidRPr="08B37D64">
        <w:rPr>
          <w:rFonts w:eastAsiaTheme="majorEastAsia" w:cstheme="majorBidi"/>
        </w:rPr>
        <w:t xml:space="preserve">duplicates </w:t>
      </w:r>
      <w:r w:rsidR="00936149" w:rsidRPr="08B37D64">
        <w:rPr>
          <w:rFonts w:eastAsiaTheme="majorEastAsia" w:cstheme="majorBidi"/>
        </w:rPr>
        <w:t>measurements, where</w:t>
      </w:r>
      <w:r w:rsidR="22A6A383" w:rsidRPr="08B37D64">
        <w:rPr>
          <w:rFonts w:eastAsiaTheme="majorEastAsia" w:cstheme="majorBidi"/>
        </w:rPr>
        <w:t xml:space="preserve"> the outlier value was more than three standard deviations away from the mean of the other two measurements</w:t>
      </w:r>
      <w:r w:rsidR="743DFE8E" w:rsidRPr="08B37D64">
        <w:rPr>
          <w:rFonts w:eastAsiaTheme="majorEastAsia" w:cstheme="majorBidi"/>
        </w:rPr>
        <w:t xml:space="preserve"> and was removed from analysis. </w:t>
      </w:r>
    </w:p>
    <w:p w14:paraId="76F168F1" w14:textId="56408C34" w:rsidR="00561134" w:rsidRPr="00FE5744" w:rsidRDefault="00561134" w:rsidP="00FE5744">
      <w:pPr>
        <w:pStyle w:val="NormalWeb"/>
        <w:shd w:val="clear" w:color="auto" w:fill="FFFFFF"/>
        <w:spacing w:before="0" w:beforeAutospacing="0" w:after="420" w:afterAutospacing="0"/>
        <w:contextualSpacing/>
        <w:rPr>
          <w:color w:val="222222"/>
        </w:rPr>
      </w:pPr>
      <w:r w:rsidRPr="00016F20">
        <w:rPr>
          <w:color w:val="222222"/>
        </w:rPr>
        <w:br w:type="page"/>
      </w:r>
    </w:p>
    <w:p w14:paraId="180EAAC8" w14:textId="6A8B2403" w:rsidR="00FD0387" w:rsidRPr="005B2930" w:rsidRDefault="00F92209" w:rsidP="00827FA0">
      <w:pPr>
        <w:pStyle w:val="Heading1"/>
        <w:rPr>
          <w:sz w:val="24"/>
          <w:szCs w:val="24"/>
        </w:rPr>
      </w:pPr>
      <w:r w:rsidRPr="005B2930">
        <w:rPr>
          <w:sz w:val="24"/>
          <w:szCs w:val="24"/>
        </w:rPr>
        <w:lastRenderedPageBreak/>
        <w:t>References</w:t>
      </w:r>
      <w:r w:rsidR="00ED44CB" w:rsidRPr="005B2930">
        <w:rPr>
          <w:sz w:val="24"/>
          <w:szCs w:val="24"/>
        </w:rPr>
        <w:softHyphen/>
      </w:r>
    </w:p>
    <w:p w14:paraId="0DCAAC8D" w14:textId="77777777" w:rsidR="00201926" w:rsidRPr="00201926" w:rsidRDefault="00AD6815" w:rsidP="00201926">
      <w:pPr>
        <w:widowControl w:val="0"/>
        <w:autoSpaceDE w:val="0"/>
        <w:autoSpaceDN w:val="0"/>
        <w:adjustRightInd w:val="0"/>
        <w:spacing w:before="240" w:after="120"/>
        <w:ind w:left="640" w:hanging="640"/>
      </w:pPr>
      <w:r w:rsidRPr="005B2930">
        <w:fldChar w:fldCharType="begin" w:fldLock="1"/>
      </w:r>
      <w:r w:rsidRPr="005B2930">
        <w:instrText xml:space="preserve">ADDIN Mendeley Bibliography CSL_BIBLIOGRAPHY </w:instrText>
      </w:r>
      <w:r w:rsidRPr="005B2930">
        <w:fldChar w:fldCharType="separate"/>
      </w:r>
      <w:r w:rsidRPr="001E01A2">
        <w:t xml:space="preserve">1. </w:t>
      </w:r>
      <w:r w:rsidRPr="00E50513">
        <w:tab/>
      </w:r>
      <w:r w:rsidR="006B5514" w:rsidRPr="00201926">
        <w:t>Liu, L. , Kwak, H. , Lawton, T. L. , Jin, S.‐X. , Meunier, A. L. , Dang, Y. , Ostaszewski, B. , Pietras, A. C. , Stern, A. M. , &amp; Selkoe, D. J. (2021). An ultra‐sensitive immunoassay detects and quantifies soluble Aβ oligomers in human plasma. Alzheimer's &amp; Dementia, 18(6), 1186–1202. 10.1002/alz.12457</w:t>
      </w:r>
    </w:p>
    <w:p w14:paraId="27F8EAF3" w14:textId="18885790" w:rsidR="00201926" w:rsidRPr="00201926" w:rsidRDefault="00201926" w:rsidP="00201926">
      <w:pPr>
        <w:widowControl w:val="0"/>
        <w:autoSpaceDE w:val="0"/>
        <w:autoSpaceDN w:val="0"/>
        <w:adjustRightInd w:val="0"/>
        <w:spacing w:before="240" w:after="120"/>
        <w:ind w:left="640" w:hanging="640"/>
      </w:pPr>
      <w:r w:rsidRPr="00201926">
        <w:t>2.</w:t>
      </w:r>
      <w:r w:rsidRPr="00201926">
        <w:tab/>
        <w:t>Liu L, Stern A, Dang Y, Ostaszewski B, Chhatwal JP, Selkoe DJ. Predicting development of AD clinical symptoms and their progression through a collection of novel plasma Aβ immunoassays: Biomarkers (non-neuroimaging): Blood based biomarkers. Alzheimer’s &amp; Dementia 2020; 16: e043670.</w:t>
      </w:r>
    </w:p>
    <w:p w14:paraId="05742EA6" w14:textId="7B4ADD8B" w:rsidR="00201926" w:rsidRDefault="00201926" w:rsidP="00201926">
      <w:pPr>
        <w:widowControl w:val="0"/>
        <w:autoSpaceDE w:val="0"/>
        <w:autoSpaceDN w:val="0"/>
        <w:adjustRightInd w:val="0"/>
        <w:spacing w:before="240" w:after="120"/>
        <w:ind w:left="640" w:hanging="640"/>
      </w:pPr>
      <w:r>
        <w:t>3</w:t>
      </w:r>
      <w:r w:rsidRPr="00201926">
        <w:t>.</w:t>
      </w:r>
      <w:r w:rsidRPr="00201926">
        <w:tab/>
        <w:t>Yang T, Dang Y, Ostaszewski B, Mengel D, Steffen V, Rabe C et al. Target engagement in an Alzheimer trial: Crenezumab lowers amyloid β oligomers in cerebrospinal fluid. Annals of neurology 2019; 86: 215–224.</w:t>
      </w:r>
    </w:p>
    <w:p w14:paraId="01D15B0D" w14:textId="28C24F23" w:rsidR="00E50513" w:rsidRPr="00201926" w:rsidRDefault="00E50513" w:rsidP="00201926">
      <w:pPr>
        <w:widowControl w:val="0"/>
        <w:autoSpaceDE w:val="0"/>
        <w:autoSpaceDN w:val="0"/>
        <w:adjustRightInd w:val="0"/>
        <w:spacing w:before="240" w:after="120"/>
        <w:ind w:left="640" w:hanging="640"/>
      </w:pPr>
      <w:r>
        <w:t>4.</w:t>
      </w:r>
      <w:r>
        <w:tab/>
      </w:r>
      <w:r w:rsidRPr="00E50513">
        <w:t xml:space="preserve">Yang T, Li S, Xu H, Walsh DM, Selkoe DJ. </w:t>
      </w:r>
      <w:hyperlink r:id="rId12" w:history="1">
        <w:r w:rsidRPr="00E50513">
          <w:t>Large Soluble Oligomers of Amyloid β-Protein from Alzheimer Brain Are Far Less Neuroactive Than the Smaller Oligomers to Which They Dissociate.</w:t>
        </w:r>
      </w:hyperlink>
      <w:r w:rsidRPr="00E50513">
        <w:t xml:space="preserve"> J Neurosci. 2017 Jan 4;37(1):152-163. doi: 10.1523/JNEUROSCI.1698-16.2016.</w:t>
      </w:r>
    </w:p>
    <w:p w14:paraId="496C19C4" w14:textId="4A2EBC32" w:rsidR="00AD6815" w:rsidRPr="00201926" w:rsidRDefault="00E50513" w:rsidP="00AD6815">
      <w:pPr>
        <w:widowControl w:val="0"/>
        <w:autoSpaceDE w:val="0"/>
        <w:autoSpaceDN w:val="0"/>
        <w:adjustRightInd w:val="0"/>
        <w:spacing w:before="240" w:after="120"/>
        <w:ind w:left="640" w:hanging="640"/>
      </w:pPr>
      <w:r>
        <w:t>5</w:t>
      </w:r>
      <w:r w:rsidR="00AD6815" w:rsidRPr="00201926">
        <w:t xml:space="preserve">. </w:t>
      </w:r>
      <w:r w:rsidR="00AD6815" w:rsidRPr="00201926">
        <w:tab/>
      </w:r>
      <w:r w:rsidR="00201926">
        <w:t xml:space="preserve">Yang T, O’Malley TT, Kanmert D, Jerecic J, Zieske LR, Zetterberg H, Hyman BT, Walsh DM, Selkoe DJ (2015) A highly sensitive novel immunoassay specifically detects low levels of soluble Abeta oligomers in human cerebrospinal fluid. Alzheimers Res Ther 7:14. </w:t>
      </w:r>
    </w:p>
    <w:p w14:paraId="2B4729D6" w14:textId="78B11B09" w:rsidR="00201926" w:rsidRPr="00201926" w:rsidRDefault="00E50513" w:rsidP="00C836E1">
      <w:pPr>
        <w:widowControl w:val="0"/>
        <w:autoSpaceDE w:val="0"/>
        <w:autoSpaceDN w:val="0"/>
        <w:adjustRightInd w:val="0"/>
        <w:spacing w:before="240" w:after="120"/>
        <w:ind w:left="640" w:hanging="640"/>
      </w:pPr>
      <w:r>
        <w:t>6</w:t>
      </w:r>
      <w:r w:rsidR="00AD6815" w:rsidRPr="00201926">
        <w:t xml:space="preserve">. </w:t>
      </w:r>
      <w:r w:rsidR="00AD6815" w:rsidRPr="00201926">
        <w:tab/>
      </w:r>
      <w:r w:rsidR="00201926" w:rsidRPr="00201926">
        <w:t>Yang T, Hong S, O’Malley T, Sperling R, Walsh DM, Selkoe DJ. New ELISAs with high specificity for soluble oligomers of amyloid β-protein detect natural Aβ oligomers in human brain but not CSF. Alzheimers Dement. 2013;9:99–112. doi: 10.1016/j.jalz.2012.11.005.</w:t>
      </w:r>
    </w:p>
    <w:p w14:paraId="7CE9A01D" w14:textId="407682E5" w:rsidR="00561134" w:rsidRPr="001E01A2" w:rsidRDefault="00AD6815" w:rsidP="00C836E1">
      <w:pPr>
        <w:widowControl w:val="0"/>
        <w:autoSpaceDE w:val="0"/>
        <w:autoSpaceDN w:val="0"/>
        <w:adjustRightInd w:val="0"/>
        <w:spacing w:before="240" w:after="120"/>
        <w:ind w:left="640" w:hanging="640"/>
      </w:pPr>
      <w:r w:rsidRPr="005B2930">
        <w:fldChar w:fldCharType="end"/>
      </w:r>
      <w:r w:rsidR="001E01A2">
        <w:t>7.</w:t>
      </w:r>
      <w:r w:rsidR="001E01A2">
        <w:tab/>
      </w:r>
      <w:r w:rsidR="001E01A2" w:rsidRPr="001E01A2">
        <w:t>Van Helmond Z, Heesom K, Love S. Characterisation of two antibodies to oligomeric Abeta and their use in ELISAs on human brain tissue homogenates. J Neurosci Methods 2009; 176: 206–212.</w:t>
      </w:r>
    </w:p>
    <w:p w14:paraId="45FE87CC" w14:textId="0DC24501" w:rsidR="001E01A2" w:rsidRPr="001E01A2" w:rsidRDefault="001E01A2" w:rsidP="00C836E1">
      <w:pPr>
        <w:widowControl w:val="0"/>
        <w:autoSpaceDE w:val="0"/>
        <w:autoSpaceDN w:val="0"/>
        <w:adjustRightInd w:val="0"/>
        <w:spacing w:before="240" w:after="120"/>
        <w:ind w:left="640" w:hanging="640"/>
      </w:pPr>
      <w:r>
        <w:t>8.</w:t>
      </w:r>
      <w:r w:rsidRPr="001E01A2">
        <w:tab/>
        <w:t>O’Nuallain B, Freir DB, Nicoll AJ, Risse E, Ferguson N, Herron CE et al. Amyloid beta-protein dimers rapidly form stable synaptotoxic protofibrils. J Neurosci 2010; 30: 14411–14419.</w:t>
      </w:r>
    </w:p>
    <w:p w14:paraId="2140B4D0" w14:textId="2653EE4C" w:rsidR="00F92209" w:rsidRPr="00F92209" w:rsidRDefault="00F92209" w:rsidP="00827FA0">
      <w:pPr>
        <w:pStyle w:val="Heading1"/>
      </w:pPr>
      <w:r w:rsidRPr="00F92209">
        <w:t>About the Authors</w:t>
      </w:r>
    </w:p>
    <w:p w14:paraId="4EB69F1C" w14:textId="342F47EB" w:rsidR="00830CCD" w:rsidRDefault="00F92209" w:rsidP="00ED44CB">
      <w:r>
        <w:rPr>
          <w:rFonts w:cs="Times New Roman"/>
        </w:rPr>
        <w:t xml:space="preserve">This document was </w:t>
      </w:r>
      <w:r w:rsidR="00C26E82">
        <w:rPr>
          <w:rFonts w:cs="Times New Roman"/>
        </w:rPr>
        <w:t>prepared</w:t>
      </w:r>
      <w:r>
        <w:rPr>
          <w:rFonts w:cs="Times New Roman"/>
        </w:rPr>
        <w:t xml:space="preserve"> by</w:t>
      </w:r>
      <w:r w:rsidR="00C26E82">
        <w:rPr>
          <w:rFonts w:cs="Times New Roman"/>
        </w:rPr>
        <w:t xml:space="preserve"> </w:t>
      </w:r>
      <w:r w:rsidR="006B5514">
        <w:rPr>
          <w:rFonts w:cs="Times New Roman"/>
        </w:rPr>
        <w:t>Ting Yang</w:t>
      </w:r>
      <w:r w:rsidR="001E01A2">
        <w:rPr>
          <w:rFonts w:cs="Times New Roman"/>
        </w:rPr>
        <w:t xml:space="preserve"> and Yi</w:t>
      </w:r>
      <w:r w:rsidR="00936149">
        <w:rPr>
          <w:rFonts w:cs="Times New Roman"/>
        </w:rPr>
        <w:t>R</w:t>
      </w:r>
      <w:r w:rsidR="001E01A2">
        <w:rPr>
          <w:rFonts w:cs="Times New Roman"/>
        </w:rPr>
        <w:t>an Xu</w:t>
      </w:r>
      <w:r>
        <w:rPr>
          <w:rFonts w:cs="Times New Roman"/>
        </w:rPr>
        <w:t xml:space="preserve">. For more </w:t>
      </w:r>
      <w:r w:rsidR="006B5514">
        <w:rPr>
          <w:rFonts w:cs="Times New Roman"/>
        </w:rPr>
        <w:t>information,</w:t>
      </w:r>
      <w:r>
        <w:rPr>
          <w:rFonts w:cs="Times New Roman"/>
        </w:rPr>
        <w:t xml:space="preserve"> please contact </w:t>
      </w:r>
      <w:r w:rsidR="006B5514">
        <w:rPr>
          <w:rFonts w:cs="Times New Roman"/>
        </w:rPr>
        <w:t>Ting</w:t>
      </w:r>
      <w:r>
        <w:rPr>
          <w:rFonts w:cs="Times New Roman"/>
        </w:rPr>
        <w:t xml:space="preserve"> at</w:t>
      </w:r>
      <w:r w:rsidR="00C26E82">
        <w:rPr>
          <w:rFonts w:cs="Times New Roman"/>
        </w:rPr>
        <w:t xml:space="preserve"> </w:t>
      </w:r>
      <w:r w:rsidR="001E01A2">
        <w:rPr>
          <w:rFonts w:cs="Times New Roman"/>
        </w:rPr>
        <w:t>tyang</w:t>
      </w:r>
      <w:r w:rsidR="00AD6815">
        <w:rPr>
          <w:rFonts w:cs="Times New Roman"/>
        </w:rPr>
        <w:t>@bwh.harvard.edu.</w:t>
      </w:r>
    </w:p>
    <w:p w14:paraId="3BFA1EAC" w14:textId="77777777" w:rsidR="00830CCD" w:rsidRDefault="00830CCD" w:rsidP="00ED44CB">
      <w:pPr>
        <w:rPr>
          <w:i/>
          <w:sz w:val="20"/>
          <w:szCs w:val="20"/>
        </w:rPr>
      </w:pPr>
    </w:p>
    <w:p w14:paraId="74BB16AA" w14:textId="05778C06" w:rsidR="00B92B45" w:rsidRPr="00830CCD" w:rsidRDefault="00830CCD" w:rsidP="00ED44CB">
      <w:pPr>
        <w:rPr>
          <w:rFonts w:cs="Times New Roman"/>
          <w:i/>
          <w:sz w:val="20"/>
          <w:szCs w:val="20"/>
        </w:rPr>
      </w:pPr>
      <w:r>
        <w:rPr>
          <w:i/>
          <w:sz w:val="20"/>
          <w:szCs w:val="20"/>
        </w:rPr>
        <w:t xml:space="preserve">Notice: </w:t>
      </w:r>
      <w:r w:rsidRPr="00830CCD">
        <w:rPr>
          <w:i/>
          <w:sz w:val="20"/>
          <w:szCs w:val="20"/>
        </w:rPr>
        <w:t>This document is presented by the author(s) as a service to ADNI data users.  However, users should be aware that no formal review process has vetted this document and that ADNI cannot guarantee the accuracy or utility of this document.</w:t>
      </w:r>
    </w:p>
    <w:sectPr w:rsidR="00B92B45" w:rsidRPr="00830CCD" w:rsidSect="00F92209">
      <w:headerReference w:type="default" r:id="rId13"/>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D03E3" w14:textId="77777777" w:rsidR="004D6833" w:rsidRDefault="004D6833" w:rsidP="004D61C4">
      <w:r>
        <w:separator/>
      </w:r>
    </w:p>
  </w:endnote>
  <w:endnote w:type="continuationSeparator" w:id="0">
    <w:p w14:paraId="6F6DD5E3" w14:textId="77777777" w:rsidR="004D6833" w:rsidRDefault="004D6833" w:rsidP="004D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1111" w14:textId="77777777" w:rsidR="00F45483" w:rsidRDefault="00000000">
    <w:pPr>
      <w:pStyle w:val="Footer"/>
    </w:pPr>
    <w:sdt>
      <w:sdtPr>
        <w:id w:val="969400743"/>
        <w:placeholder>
          <w:docPart w:val="D0585D86E2478D42ADED16475E6986ED"/>
        </w:placeholder>
        <w:temporary/>
        <w:showingPlcHdr/>
      </w:sdtPr>
      <w:sdtContent>
        <w:r w:rsidR="00F45483">
          <w:t>[Type text]</w:t>
        </w:r>
      </w:sdtContent>
    </w:sdt>
    <w:r w:rsidR="00F45483">
      <w:ptab w:relativeTo="margin" w:alignment="center" w:leader="none"/>
    </w:r>
    <w:sdt>
      <w:sdtPr>
        <w:id w:val="969400748"/>
        <w:placeholder>
          <w:docPart w:val="6D021546CEC79C4793BF48F1FFF0AACA"/>
        </w:placeholder>
        <w:temporary/>
        <w:showingPlcHdr/>
      </w:sdtPr>
      <w:sdtContent>
        <w:r w:rsidR="00F45483">
          <w:t>[Type text]</w:t>
        </w:r>
      </w:sdtContent>
    </w:sdt>
    <w:r w:rsidR="00F45483">
      <w:ptab w:relativeTo="margin" w:alignment="right" w:leader="none"/>
    </w:r>
    <w:sdt>
      <w:sdtPr>
        <w:id w:val="969400753"/>
        <w:placeholder>
          <w:docPart w:val="AE203B6D99E1CF4190ED3EAFC49411D6"/>
        </w:placeholder>
        <w:temporary/>
        <w:showingPlcHdr/>
      </w:sdtPr>
      <w:sdtContent>
        <w:r w:rsidR="00F4548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3026" w14:textId="77777777" w:rsidR="00F45483" w:rsidRPr="00EC0E2D" w:rsidRDefault="00F45483" w:rsidP="004D61C4">
    <w:pPr>
      <w:jc w:val="right"/>
      <w:rPr>
        <w:rFonts w:ascii="Arial" w:hAnsi="Arial" w:cs="Arial"/>
        <w:color w:val="808080" w:themeColor="background1" w:themeShade="80"/>
        <w:sz w:val="20"/>
        <w:szCs w:val="20"/>
      </w:rPr>
    </w:pPr>
    <w:r w:rsidRPr="00EC0E2D">
      <w:rPr>
        <w:rFonts w:ascii="Arial" w:hAnsi="Arial" w:cs="Arial"/>
        <w:color w:val="808080" w:themeColor="background1" w:themeShade="80"/>
        <w:sz w:val="20"/>
        <w:szCs w:val="20"/>
      </w:rPr>
      <w:t>Rev Jan 31 2011</w:t>
    </w:r>
  </w:p>
  <w:p w14:paraId="2FFED655" w14:textId="77777777" w:rsidR="00F45483" w:rsidRDefault="00F45483">
    <w:pPr>
      <w:pStyle w:val="Footer"/>
    </w:pPr>
    <w:r>
      <w:ptab w:relativeTo="margin" w:alignment="right" w:leader="none"/>
    </w:r>
    <w:r w:rsidRPr="004D61C4">
      <w:rPr>
        <w:noProof/>
      </w:rPr>
      <w:t xml:space="preserve"> </w:t>
    </w:r>
    <w:r>
      <w:rPr>
        <w:noProof/>
      </w:rPr>
      <w:drawing>
        <wp:inline distT="0" distB="0" distL="0" distR="0" wp14:anchorId="0A4C677E" wp14:editId="302AFB74">
          <wp:extent cx="1371600" cy="228600"/>
          <wp:effectExtent l="0" t="0" r="0" b="0"/>
          <wp:docPr id="3" name="Picture 3" descr="Warhol HD:Users:blee:Desktop:ADNI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hol HD:Users:blee:Desktop:ADNI_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29EDF" w14:textId="77777777" w:rsidR="004D6833" w:rsidRDefault="004D6833" w:rsidP="004D61C4">
      <w:r>
        <w:separator/>
      </w:r>
    </w:p>
  </w:footnote>
  <w:footnote w:type="continuationSeparator" w:id="0">
    <w:p w14:paraId="32C4FD93" w14:textId="77777777" w:rsidR="004D6833" w:rsidRDefault="004D6833" w:rsidP="004D6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7490" w14:textId="77777777" w:rsidR="00F45483" w:rsidRPr="004D61C4" w:rsidRDefault="00F45483" w:rsidP="004D61C4">
    <w:pPr>
      <w:pStyle w:val="Header"/>
      <w:rPr>
        <w:rFonts w:ascii="Arial" w:hAnsi="Arial" w:cs="Arial"/>
      </w:rPr>
    </w:pPr>
    <w:r>
      <w:rPr>
        <w:noProof/>
      </w:rPr>
      <w:drawing>
        <wp:inline distT="0" distB="0" distL="0" distR="0" wp14:anchorId="3484593D" wp14:editId="546037E0">
          <wp:extent cx="3619500" cy="685800"/>
          <wp:effectExtent l="0" t="0" r="12700" b="0"/>
          <wp:docPr id="1" name="Picture 1" descr="Warhol HD:Users:blee:Desktop:ADNI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hol HD:Users:blee:Desktop:ADNI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0" cy="685800"/>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6C71"/>
    <w:multiLevelType w:val="hybridMultilevel"/>
    <w:tmpl w:val="DBDE8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6717B1"/>
    <w:multiLevelType w:val="hybridMultilevel"/>
    <w:tmpl w:val="DE76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83677">
    <w:abstractNumId w:val="0"/>
  </w:num>
  <w:num w:numId="2" w16cid:durableId="421681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387"/>
    <w:rsid w:val="00016F20"/>
    <w:rsid w:val="000C363B"/>
    <w:rsid w:val="000E23BE"/>
    <w:rsid w:val="00112360"/>
    <w:rsid w:val="001138BC"/>
    <w:rsid w:val="00121819"/>
    <w:rsid w:val="0018589A"/>
    <w:rsid w:val="001E01A2"/>
    <w:rsid w:val="001F2781"/>
    <w:rsid w:val="00201926"/>
    <w:rsid w:val="002126D9"/>
    <w:rsid w:val="002B0743"/>
    <w:rsid w:val="002CBB83"/>
    <w:rsid w:val="002E6ECA"/>
    <w:rsid w:val="0031407A"/>
    <w:rsid w:val="00365523"/>
    <w:rsid w:val="003F4F4C"/>
    <w:rsid w:val="004242E2"/>
    <w:rsid w:val="00433174"/>
    <w:rsid w:val="004D61C4"/>
    <w:rsid w:val="004D6833"/>
    <w:rsid w:val="0051399F"/>
    <w:rsid w:val="00561134"/>
    <w:rsid w:val="005B2930"/>
    <w:rsid w:val="005E25EB"/>
    <w:rsid w:val="005F0248"/>
    <w:rsid w:val="0065397E"/>
    <w:rsid w:val="006B2D1B"/>
    <w:rsid w:val="006B5514"/>
    <w:rsid w:val="007D0E3C"/>
    <w:rsid w:val="007D54E2"/>
    <w:rsid w:val="008160C8"/>
    <w:rsid w:val="00827FA0"/>
    <w:rsid w:val="00830CCD"/>
    <w:rsid w:val="0091452A"/>
    <w:rsid w:val="00936149"/>
    <w:rsid w:val="009456B0"/>
    <w:rsid w:val="00973E26"/>
    <w:rsid w:val="00AB2CC2"/>
    <w:rsid w:val="00AD6815"/>
    <w:rsid w:val="00B24490"/>
    <w:rsid w:val="00B41812"/>
    <w:rsid w:val="00B92B45"/>
    <w:rsid w:val="00C26E82"/>
    <w:rsid w:val="00C40B94"/>
    <w:rsid w:val="00C446B8"/>
    <w:rsid w:val="00C836E1"/>
    <w:rsid w:val="00D112BF"/>
    <w:rsid w:val="00D92400"/>
    <w:rsid w:val="00DA7385"/>
    <w:rsid w:val="00DF0718"/>
    <w:rsid w:val="00E46A35"/>
    <w:rsid w:val="00E50513"/>
    <w:rsid w:val="00E86E02"/>
    <w:rsid w:val="00EB6161"/>
    <w:rsid w:val="00EC0E2D"/>
    <w:rsid w:val="00ED44CB"/>
    <w:rsid w:val="00F45483"/>
    <w:rsid w:val="00F92209"/>
    <w:rsid w:val="00F95371"/>
    <w:rsid w:val="00FD0387"/>
    <w:rsid w:val="00FD6134"/>
    <w:rsid w:val="00FE5744"/>
    <w:rsid w:val="00FF538F"/>
    <w:rsid w:val="02B80B05"/>
    <w:rsid w:val="0300F7C9"/>
    <w:rsid w:val="05209F44"/>
    <w:rsid w:val="05499BCB"/>
    <w:rsid w:val="059040EA"/>
    <w:rsid w:val="05CDCDED"/>
    <w:rsid w:val="0809E7F2"/>
    <w:rsid w:val="08B37D64"/>
    <w:rsid w:val="091EA169"/>
    <w:rsid w:val="09AF6B84"/>
    <w:rsid w:val="0BB0322F"/>
    <w:rsid w:val="0D290D9F"/>
    <w:rsid w:val="0E3D6B45"/>
    <w:rsid w:val="0F0C5A0D"/>
    <w:rsid w:val="0F91F1CD"/>
    <w:rsid w:val="10008C3F"/>
    <w:rsid w:val="12563C5D"/>
    <w:rsid w:val="12ADFD8F"/>
    <w:rsid w:val="13FE1D91"/>
    <w:rsid w:val="14A401A9"/>
    <w:rsid w:val="16507F43"/>
    <w:rsid w:val="1701D386"/>
    <w:rsid w:val="180B9E24"/>
    <w:rsid w:val="18C53600"/>
    <w:rsid w:val="18F9D3E5"/>
    <w:rsid w:val="19926A70"/>
    <w:rsid w:val="19B34C87"/>
    <w:rsid w:val="19B80923"/>
    <w:rsid w:val="1B4F1CE8"/>
    <w:rsid w:val="1C092F76"/>
    <w:rsid w:val="1C1E70F4"/>
    <w:rsid w:val="1C574C78"/>
    <w:rsid w:val="1C5EFC8E"/>
    <w:rsid w:val="1CE2A6AF"/>
    <w:rsid w:val="1F8EED3A"/>
    <w:rsid w:val="1FE88397"/>
    <w:rsid w:val="20D1FC1F"/>
    <w:rsid w:val="22A6A383"/>
    <w:rsid w:val="235A2ECD"/>
    <w:rsid w:val="2365986C"/>
    <w:rsid w:val="23CF004E"/>
    <w:rsid w:val="2525E093"/>
    <w:rsid w:val="252F3FA1"/>
    <w:rsid w:val="25ABEE6F"/>
    <w:rsid w:val="266C59F1"/>
    <w:rsid w:val="26FB2EF3"/>
    <w:rsid w:val="27413DA3"/>
    <w:rsid w:val="27608C23"/>
    <w:rsid w:val="27CA75D2"/>
    <w:rsid w:val="27FD14CC"/>
    <w:rsid w:val="28E38F31"/>
    <w:rsid w:val="29B16490"/>
    <w:rsid w:val="2A0D90DF"/>
    <w:rsid w:val="2A1F3D70"/>
    <w:rsid w:val="2A82E277"/>
    <w:rsid w:val="2A8B4311"/>
    <w:rsid w:val="2ABE48A4"/>
    <w:rsid w:val="2B3FCB14"/>
    <w:rsid w:val="2C679A2D"/>
    <w:rsid w:val="2C82646D"/>
    <w:rsid w:val="2DB771B6"/>
    <w:rsid w:val="2DCFCDA7"/>
    <w:rsid w:val="31134C6B"/>
    <w:rsid w:val="3124DF08"/>
    <w:rsid w:val="31822E0F"/>
    <w:rsid w:val="31CD5EF9"/>
    <w:rsid w:val="32A33ECA"/>
    <w:rsid w:val="32E8FAD1"/>
    <w:rsid w:val="343F0F2B"/>
    <w:rsid w:val="35C78818"/>
    <w:rsid w:val="35FC5440"/>
    <w:rsid w:val="3643210A"/>
    <w:rsid w:val="36A5F391"/>
    <w:rsid w:val="37272CB4"/>
    <w:rsid w:val="37828DEF"/>
    <w:rsid w:val="38A4189C"/>
    <w:rsid w:val="391A6DD4"/>
    <w:rsid w:val="3A65968A"/>
    <w:rsid w:val="3AB63E35"/>
    <w:rsid w:val="3ABAC729"/>
    <w:rsid w:val="3B86FCD9"/>
    <w:rsid w:val="3BBAAC07"/>
    <w:rsid w:val="3CB8EF48"/>
    <w:rsid w:val="3D8DC318"/>
    <w:rsid w:val="3E0C1CBA"/>
    <w:rsid w:val="40BC1139"/>
    <w:rsid w:val="41257FB9"/>
    <w:rsid w:val="415CF036"/>
    <w:rsid w:val="41BAF0D9"/>
    <w:rsid w:val="42431EFD"/>
    <w:rsid w:val="4374AEAA"/>
    <w:rsid w:val="43F5B0E1"/>
    <w:rsid w:val="45107F0B"/>
    <w:rsid w:val="45170038"/>
    <w:rsid w:val="469A65CD"/>
    <w:rsid w:val="47A8BC5A"/>
    <w:rsid w:val="486FF34B"/>
    <w:rsid w:val="4BE06F91"/>
    <w:rsid w:val="4D2FF1D4"/>
    <w:rsid w:val="4E0FE0C3"/>
    <w:rsid w:val="4E99B398"/>
    <w:rsid w:val="4FABB124"/>
    <w:rsid w:val="50415639"/>
    <w:rsid w:val="50ECEA94"/>
    <w:rsid w:val="510D7711"/>
    <w:rsid w:val="51220BE7"/>
    <w:rsid w:val="514E3A4D"/>
    <w:rsid w:val="52E351E6"/>
    <w:rsid w:val="535C79E9"/>
    <w:rsid w:val="5392BFFA"/>
    <w:rsid w:val="549D4B5B"/>
    <w:rsid w:val="55096DDB"/>
    <w:rsid w:val="5607BE98"/>
    <w:rsid w:val="5675157F"/>
    <w:rsid w:val="56C79A9A"/>
    <w:rsid w:val="583DC627"/>
    <w:rsid w:val="5BDA77FD"/>
    <w:rsid w:val="5D43ECAB"/>
    <w:rsid w:val="5E1EE150"/>
    <w:rsid w:val="616FDFBE"/>
    <w:rsid w:val="62B0BB54"/>
    <w:rsid w:val="63425ECB"/>
    <w:rsid w:val="63634AC5"/>
    <w:rsid w:val="64A36452"/>
    <w:rsid w:val="68827B0A"/>
    <w:rsid w:val="6903E4E5"/>
    <w:rsid w:val="6B4A6CC5"/>
    <w:rsid w:val="6BAF0813"/>
    <w:rsid w:val="6BE65DDF"/>
    <w:rsid w:val="6C800C5C"/>
    <w:rsid w:val="6EC24E93"/>
    <w:rsid w:val="6EFD9A90"/>
    <w:rsid w:val="6F128C84"/>
    <w:rsid w:val="6F6005C1"/>
    <w:rsid w:val="6FABFA27"/>
    <w:rsid w:val="7168828F"/>
    <w:rsid w:val="71814FE2"/>
    <w:rsid w:val="721DCFF8"/>
    <w:rsid w:val="727FF9D6"/>
    <w:rsid w:val="743DFE8E"/>
    <w:rsid w:val="748079C7"/>
    <w:rsid w:val="74A02351"/>
    <w:rsid w:val="76E336D7"/>
    <w:rsid w:val="774D68AE"/>
    <w:rsid w:val="77704444"/>
    <w:rsid w:val="780CE8C8"/>
    <w:rsid w:val="7A2679E1"/>
    <w:rsid w:val="7A342174"/>
    <w:rsid w:val="7B24A653"/>
    <w:rsid w:val="7B3A9BF9"/>
    <w:rsid w:val="7BB6A7FA"/>
    <w:rsid w:val="7E67A4C3"/>
    <w:rsid w:val="7E95EEE9"/>
    <w:rsid w:val="7F7112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EC861F"/>
  <w15:docId w15:val="{68BCC64A-7FF0-4AA6-9158-59056EE6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FA0"/>
    <w:rPr>
      <w:rFonts w:ascii="Times New Roman" w:hAnsi="Times New Roman"/>
    </w:rPr>
  </w:style>
  <w:style w:type="paragraph" w:styleId="Heading1">
    <w:name w:val="heading 1"/>
    <w:basedOn w:val="Normal"/>
    <w:next w:val="Normal"/>
    <w:link w:val="Heading1Char"/>
    <w:uiPriority w:val="9"/>
    <w:qFormat/>
    <w:rsid w:val="00827FA0"/>
    <w:pPr>
      <w:keepNext/>
      <w:keepLines/>
      <w:spacing w:before="240" w:after="12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827FA0"/>
    <w:pPr>
      <w:keepNext/>
      <w:keepLines/>
      <w:outlineLvl w:val="1"/>
    </w:pPr>
    <w:rPr>
      <w:rFonts w:eastAsiaTheme="majorEastAsia" w:cstheme="majorBidi"/>
      <w:b/>
      <w:bCs/>
      <w:i/>
      <w:color w:val="595959" w:themeColor="text1" w:themeTint="A6"/>
      <w:szCs w:val="26"/>
    </w:rPr>
  </w:style>
  <w:style w:type="paragraph" w:styleId="Heading3">
    <w:name w:val="heading 3"/>
    <w:basedOn w:val="Normal"/>
    <w:next w:val="Normal"/>
    <w:link w:val="Heading3Char"/>
    <w:uiPriority w:val="9"/>
    <w:unhideWhenUsed/>
    <w:qFormat/>
    <w:rsid w:val="00827FA0"/>
    <w:pPr>
      <w:keepNext/>
      <w:keepLines/>
      <w:spacing w:before="200"/>
      <w:outlineLvl w:val="2"/>
    </w:pPr>
    <w:rPr>
      <w:rFonts w:ascii="Arial" w:eastAsiaTheme="majorEastAsia" w:hAnsi="Arial" w:cstheme="majorBidi"/>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3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387"/>
    <w:rPr>
      <w:rFonts w:ascii="Lucida Grande" w:hAnsi="Lucida Grande" w:cs="Lucida Grande"/>
      <w:sz w:val="18"/>
      <w:szCs w:val="18"/>
    </w:rPr>
  </w:style>
  <w:style w:type="paragraph" w:styleId="Header">
    <w:name w:val="header"/>
    <w:basedOn w:val="Normal"/>
    <w:link w:val="HeaderChar"/>
    <w:uiPriority w:val="99"/>
    <w:unhideWhenUsed/>
    <w:rsid w:val="004D61C4"/>
    <w:pPr>
      <w:tabs>
        <w:tab w:val="center" w:pos="4320"/>
        <w:tab w:val="right" w:pos="8640"/>
      </w:tabs>
    </w:pPr>
  </w:style>
  <w:style w:type="character" w:customStyle="1" w:styleId="HeaderChar">
    <w:name w:val="Header Char"/>
    <w:basedOn w:val="DefaultParagraphFont"/>
    <w:link w:val="Header"/>
    <w:uiPriority w:val="99"/>
    <w:rsid w:val="004D61C4"/>
  </w:style>
  <w:style w:type="paragraph" w:styleId="Footer">
    <w:name w:val="footer"/>
    <w:basedOn w:val="Normal"/>
    <w:link w:val="FooterChar"/>
    <w:uiPriority w:val="99"/>
    <w:unhideWhenUsed/>
    <w:rsid w:val="004D61C4"/>
    <w:pPr>
      <w:tabs>
        <w:tab w:val="center" w:pos="4320"/>
        <w:tab w:val="right" w:pos="8640"/>
      </w:tabs>
    </w:pPr>
  </w:style>
  <w:style w:type="character" w:customStyle="1" w:styleId="FooterChar">
    <w:name w:val="Footer Char"/>
    <w:basedOn w:val="DefaultParagraphFont"/>
    <w:link w:val="Footer"/>
    <w:uiPriority w:val="99"/>
    <w:rsid w:val="004D61C4"/>
  </w:style>
  <w:style w:type="paragraph" w:styleId="Title">
    <w:name w:val="Title"/>
    <w:basedOn w:val="Normal"/>
    <w:next w:val="Normal"/>
    <w:link w:val="TitleChar"/>
    <w:uiPriority w:val="10"/>
    <w:qFormat/>
    <w:rsid w:val="00827FA0"/>
    <w:pPr>
      <w:spacing w:after="300"/>
      <w:contextualSpacing/>
      <w:jc w:val="center"/>
    </w:pPr>
    <w:rPr>
      <w:rFonts w:eastAsiaTheme="majorEastAsia" w:cstheme="majorBidi"/>
      <w:b/>
      <w:color w:val="595959" w:themeColor="text1" w:themeTint="A6"/>
      <w:spacing w:val="5"/>
      <w:kern w:val="28"/>
      <w:sz w:val="36"/>
      <w:szCs w:val="52"/>
    </w:rPr>
  </w:style>
  <w:style w:type="character" w:customStyle="1" w:styleId="TitleChar">
    <w:name w:val="Title Char"/>
    <w:basedOn w:val="DefaultParagraphFont"/>
    <w:link w:val="Title"/>
    <w:uiPriority w:val="10"/>
    <w:rsid w:val="00827FA0"/>
    <w:rPr>
      <w:rFonts w:ascii="Times New Roman" w:eastAsiaTheme="majorEastAsia" w:hAnsi="Times New Roman" w:cstheme="majorBidi"/>
      <w:b/>
      <w:color w:val="595959" w:themeColor="text1" w:themeTint="A6"/>
      <w:spacing w:val="5"/>
      <w:kern w:val="28"/>
      <w:sz w:val="36"/>
      <w:szCs w:val="52"/>
    </w:rPr>
  </w:style>
  <w:style w:type="character" w:customStyle="1" w:styleId="Heading1Char">
    <w:name w:val="Heading 1 Char"/>
    <w:basedOn w:val="DefaultParagraphFont"/>
    <w:link w:val="Heading1"/>
    <w:uiPriority w:val="9"/>
    <w:rsid w:val="00827FA0"/>
    <w:rPr>
      <w:rFonts w:ascii="Times New Roman" w:eastAsiaTheme="majorEastAsia" w:hAnsi="Times New Roman" w:cstheme="majorBidi"/>
      <w:b/>
      <w:bCs/>
      <w:sz w:val="28"/>
      <w:szCs w:val="32"/>
    </w:rPr>
  </w:style>
  <w:style w:type="character" w:customStyle="1" w:styleId="apple-style-span">
    <w:name w:val="apple-style-span"/>
    <w:basedOn w:val="DefaultParagraphFont"/>
    <w:rsid w:val="00F92209"/>
  </w:style>
  <w:style w:type="paragraph" w:styleId="ListParagraph">
    <w:name w:val="List Paragraph"/>
    <w:basedOn w:val="Normal"/>
    <w:uiPriority w:val="34"/>
    <w:qFormat/>
    <w:rsid w:val="00F92209"/>
    <w:pPr>
      <w:ind w:left="720"/>
      <w:contextualSpacing/>
    </w:pPr>
  </w:style>
  <w:style w:type="paragraph" w:styleId="Caption">
    <w:name w:val="caption"/>
    <w:basedOn w:val="Normal"/>
    <w:next w:val="Normal"/>
    <w:uiPriority w:val="35"/>
    <w:unhideWhenUsed/>
    <w:qFormat/>
    <w:rsid w:val="00827FA0"/>
    <w:rPr>
      <w:rFonts w:ascii="Arial" w:hAnsi="Arial" w:cs="Arial"/>
      <w:bCs/>
      <w:color w:val="000000"/>
      <w:sz w:val="16"/>
      <w:szCs w:val="16"/>
    </w:rPr>
  </w:style>
  <w:style w:type="table" w:styleId="TableGrid">
    <w:name w:val="Table Grid"/>
    <w:basedOn w:val="TableNormal"/>
    <w:uiPriority w:val="59"/>
    <w:rsid w:val="00ED4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27FA0"/>
    <w:pPr>
      <w:numPr>
        <w:ilvl w:val="1"/>
      </w:numPr>
      <w:jc w:val="center"/>
    </w:pPr>
    <w:rPr>
      <w:rFonts w:eastAsiaTheme="majorEastAsia" w:cstheme="majorBidi"/>
      <w:iCs/>
      <w:spacing w:val="15"/>
      <w:sz w:val="28"/>
    </w:rPr>
  </w:style>
  <w:style w:type="character" w:customStyle="1" w:styleId="SubtitleChar">
    <w:name w:val="Subtitle Char"/>
    <w:basedOn w:val="DefaultParagraphFont"/>
    <w:link w:val="Subtitle"/>
    <w:uiPriority w:val="11"/>
    <w:rsid w:val="00827FA0"/>
    <w:rPr>
      <w:rFonts w:ascii="Times New Roman" w:eastAsiaTheme="majorEastAsia" w:hAnsi="Times New Roman" w:cstheme="majorBidi"/>
      <w:iCs/>
      <w:spacing w:val="15"/>
      <w:sz w:val="28"/>
    </w:rPr>
  </w:style>
  <w:style w:type="character" w:customStyle="1" w:styleId="Heading2Char">
    <w:name w:val="Heading 2 Char"/>
    <w:basedOn w:val="DefaultParagraphFont"/>
    <w:link w:val="Heading2"/>
    <w:uiPriority w:val="9"/>
    <w:rsid w:val="00827FA0"/>
    <w:rPr>
      <w:rFonts w:ascii="Times New Roman" w:eastAsiaTheme="majorEastAsia" w:hAnsi="Times New Roman" w:cstheme="majorBidi"/>
      <w:b/>
      <w:bCs/>
      <w:i/>
      <w:color w:val="595959" w:themeColor="text1" w:themeTint="A6"/>
      <w:szCs w:val="26"/>
    </w:rPr>
  </w:style>
  <w:style w:type="character" w:customStyle="1" w:styleId="Heading3Char">
    <w:name w:val="Heading 3 Char"/>
    <w:basedOn w:val="DefaultParagraphFont"/>
    <w:link w:val="Heading3"/>
    <w:uiPriority w:val="9"/>
    <w:rsid w:val="00827FA0"/>
    <w:rPr>
      <w:rFonts w:ascii="Arial" w:eastAsiaTheme="majorEastAsia" w:hAnsi="Arial" w:cstheme="majorBidi"/>
      <w:b/>
      <w:bCs/>
      <w:color w:val="595959" w:themeColor="text1" w:themeTint="A6"/>
    </w:rPr>
  </w:style>
  <w:style w:type="character" w:styleId="Hyperlink">
    <w:name w:val="Hyperlink"/>
    <w:basedOn w:val="DefaultParagraphFont"/>
    <w:uiPriority w:val="99"/>
    <w:unhideWhenUsed/>
    <w:rsid w:val="00830CCD"/>
    <w:rPr>
      <w:color w:val="0000FF" w:themeColor="hyperlink"/>
      <w:u w:val="single"/>
    </w:rPr>
  </w:style>
  <w:style w:type="paragraph" w:styleId="NormalWeb">
    <w:name w:val="Normal (Web)"/>
    <w:basedOn w:val="Normal"/>
    <w:uiPriority w:val="99"/>
    <w:unhideWhenUsed/>
    <w:rsid w:val="00AD6815"/>
    <w:pPr>
      <w:spacing w:before="100" w:beforeAutospacing="1" w:after="100" w:afterAutospacing="1"/>
    </w:pPr>
    <w:rPr>
      <w:rFonts w:eastAsia="Times New Roman" w:cs="Times New Roman"/>
      <w:lang w:eastAsia="zh-CN"/>
    </w:rPr>
  </w:style>
  <w:style w:type="character" w:customStyle="1" w:styleId="ref-journal">
    <w:name w:val="ref-journal"/>
    <w:basedOn w:val="DefaultParagraphFont"/>
    <w:rsid w:val="00201926"/>
  </w:style>
  <w:style w:type="character" w:customStyle="1" w:styleId="ref-vol">
    <w:name w:val="ref-vol"/>
    <w:basedOn w:val="DefaultParagraphFont"/>
    <w:rsid w:val="00201926"/>
  </w:style>
  <w:style w:type="character" w:customStyle="1" w:styleId="ref-title">
    <w:name w:val="ref-title"/>
    <w:basedOn w:val="DefaultParagraphFont"/>
    <w:rsid w:val="00201926"/>
  </w:style>
  <w:style w:type="paragraph" w:customStyle="1" w:styleId="p">
    <w:name w:val="p"/>
    <w:basedOn w:val="Normal"/>
    <w:rsid w:val="001E01A2"/>
    <w:pPr>
      <w:spacing w:before="100" w:beforeAutospacing="1" w:after="100" w:afterAutospacing="1"/>
    </w:pPr>
    <w:rPr>
      <w:rFonts w:eastAsia="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93119">
      <w:bodyDiv w:val="1"/>
      <w:marLeft w:val="0"/>
      <w:marRight w:val="0"/>
      <w:marTop w:val="0"/>
      <w:marBottom w:val="0"/>
      <w:divBdr>
        <w:top w:val="none" w:sz="0" w:space="0" w:color="auto"/>
        <w:left w:val="none" w:sz="0" w:space="0" w:color="auto"/>
        <w:bottom w:val="none" w:sz="0" w:space="0" w:color="auto"/>
        <w:right w:val="none" w:sz="0" w:space="0" w:color="auto"/>
      </w:divBdr>
    </w:div>
    <w:div w:id="929000123">
      <w:bodyDiv w:val="1"/>
      <w:marLeft w:val="0"/>
      <w:marRight w:val="0"/>
      <w:marTop w:val="0"/>
      <w:marBottom w:val="0"/>
      <w:divBdr>
        <w:top w:val="none" w:sz="0" w:space="0" w:color="auto"/>
        <w:left w:val="none" w:sz="0" w:space="0" w:color="auto"/>
        <w:bottom w:val="none" w:sz="0" w:space="0" w:color="auto"/>
        <w:right w:val="none" w:sz="0" w:space="0" w:color="auto"/>
      </w:divBdr>
    </w:div>
    <w:div w:id="1225751149">
      <w:bodyDiv w:val="1"/>
      <w:marLeft w:val="0"/>
      <w:marRight w:val="0"/>
      <w:marTop w:val="0"/>
      <w:marBottom w:val="0"/>
      <w:divBdr>
        <w:top w:val="none" w:sz="0" w:space="0" w:color="auto"/>
        <w:left w:val="none" w:sz="0" w:space="0" w:color="auto"/>
        <w:bottom w:val="none" w:sz="0" w:space="0" w:color="auto"/>
        <w:right w:val="none" w:sz="0" w:space="0" w:color="auto"/>
      </w:divBdr>
    </w:div>
    <w:div w:id="1319071886">
      <w:bodyDiv w:val="1"/>
      <w:marLeft w:val="0"/>
      <w:marRight w:val="0"/>
      <w:marTop w:val="0"/>
      <w:marBottom w:val="0"/>
      <w:divBdr>
        <w:top w:val="none" w:sz="0" w:space="0" w:color="auto"/>
        <w:left w:val="none" w:sz="0" w:space="0" w:color="auto"/>
        <w:bottom w:val="none" w:sz="0" w:space="0" w:color="auto"/>
        <w:right w:val="none" w:sz="0" w:space="0" w:color="auto"/>
      </w:divBdr>
    </w:div>
    <w:div w:id="1364287201">
      <w:bodyDiv w:val="1"/>
      <w:marLeft w:val="0"/>
      <w:marRight w:val="0"/>
      <w:marTop w:val="0"/>
      <w:marBottom w:val="0"/>
      <w:divBdr>
        <w:top w:val="none" w:sz="0" w:space="0" w:color="auto"/>
        <w:left w:val="none" w:sz="0" w:space="0" w:color="auto"/>
        <w:bottom w:val="none" w:sz="0" w:space="0" w:color="auto"/>
        <w:right w:val="none" w:sz="0" w:space="0" w:color="auto"/>
      </w:divBdr>
      <w:divsChild>
        <w:div w:id="1827550147">
          <w:marLeft w:val="0"/>
          <w:marRight w:val="0"/>
          <w:marTop w:val="240"/>
          <w:marBottom w:val="0"/>
          <w:divBdr>
            <w:top w:val="none" w:sz="0" w:space="0" w:color="auto"/>
            <w:left w:val="none" w:sz="0" w:space="0" w:color="auto"/>
            <w:bottom w:val="none" w:sz="0" w:space="0" w:color="auto"/>
            <w:right w:val="none" w:sz="0" w:space="0" w:color="auto"/>
          </w:divBdr>
        </w:div>
      </w:divsChild>
    </w:div>
    <w:div w:id="1521353180">
      <w:bodyDiv w:val="1"/>
      <w:marLeft w:val="0"/>
      <w:marRight w:val="0"/>
      <w:marTop w:val="0"/>
      <w:marBottom w:val="0"/>
      <w:divBdr>
        <w:top w:val="none" w:sz="0" w:space="0" w:color="auto"/>
        <w:left w:val="none" w:sz="0" w:space="0" w:color="auto"/>
        <w:bottom w:val="none" w:sz="0" w:space="0" w:color="auto"/>
        <w:right w:val="none" w:sz="0" w:space="0" w:color="auto"/>
      </w:divBdr>
    </w:div>
    <w:div w:id="1578515643">
      <w:bodyDiv w:val="1"/>
      <w:marLeft w:val="0"/>
      <w:marRight w:val="0"/>
      <w:marTop w:val="0"/>
      <w:marBottom w:val="0"/>
      <w:divBdr>
        <w:top w:val="none" w:sz="0" w:space="0" w:color="auto"/>
        <w:left w:val="none" w:sz="0" w:space="0" w:color="auto"/>
        <w:bottom w:val="none" w:sz="0" w:space="0" w:color="auto"/>
        <w:right w:val="none" w:sz="0" w:space="0" w:color="auto"/>
      </w:divBdr>
    </w:div>
    <w:div w:id="1980843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ubmed.ncbi.nlm.nih.gov/28053038/"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pmc/articles/PMC8938295/"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585D86E2478D42ADED16475E6986ED"/>
        <w:category>
          <w:name w:val="General"/>
          <w:gallery w:val="placeholder"/>
        </w:category>
        <w:types>
          <w:type w:val="bbPlcHdr"/>
        </w:types>
        <w:behaviors>
          <w:behavior w:val="content"/>
        </w:behaviors>
        <w:guid w:val="{DAFF8EE7-9AF4-5045-BA11-5F4E895A30BD}"/>
      </w:docPartPr>
      <w:docPartBody>
        <w:p w:rsidR="00146F5B" w:rsidRDefault="008625AC" w:rsidP="008625AC">
          <w:pPr>
            <w:pStyle w:val="D0585D86E2478D42ADED16475E6986ED"/>
          </w:pPr>
          <w:r>
            <w:t>[Type text]</w:t>
          </w:r>
        </w:p>
      </w:docPartBody>
    </w:docPart>
    <w:docPart>
      <w:docPartPr>
        <w:name w:val="6D021546CEC79C4793BF48F1FFF0AACA"/>
        <w:category>
          <w:name w:val="General"/>
          <w:gallery w:val="placeholder"/>
        </w:category>
        <w:types>
          <w:type w:val="bbPlcHdr"/>
        </w:types>
        <w:behaviors>
          <w:behavior w:val="content"/>
        </w:behaviors>
        <w:guid w:val="{6AA4DC93-E8A1-F045-88AC-91C177C4D43D}"/>
      </w:docPartPr>
      <w:docPartBody>
        <w:p w:rsidR="00146F5B" w:rsidRDefault="008625AC" w:rsidP="008625AC">
          <w:pPr>
            <w:pStyle w:val="6D021546CEC79C4793BF48F1FFF0AACA"/>
          </w:pPr>
          <w:r>
            <w:t>[Type text]</w:t>
          </w:r>
        </w:p>
      </w:docPartBody>
    </w:docPart>
    <w:docPart>
      <w:docPartPr>
        <w:name w:val="AE203B6D99E1CF4190ED3EAFC49411D6"/>
        <w:category>
          <w:name w:val="General"/>
          <w:gallery w:val="placeholder"/>
        </w:category>
        <w:types>
          <w:type w:val="bbPlcHdr"/>
        </w:types>
        <w:behaviors>
          <w:behavior w:val="content"/>
        </w:behaviors>
        <w:guid w:val="{99115984-5EC5-FB4F-A55C-E9EFCF1C14D3}"/>
      </w:docPartPr>
      <w:docPartBody>
        <w:p w:rsidR="00146F5B" w:rsidRDefault="008625AC" w:rsidP="008625AC">
          <w:pPr>
            <w:pStyle w:val="AE203B6D99E1CF4190ED3EAFC49411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5AC"/>
    <w:rsid w:val="000C5DEA"/>
    <w:rsid w:val="00146F5B"/>
    <w:rsid w:val="00336A59"/>
    <w:rsid w:val="008625AC"/>
    <w:rsid w:val="009F3F2C"/>
    <w:rsid w:val="00B2726C"/>
    <w:rsid w:val="00BD61FA"/>
    <w:rsid w:val="00C57D41"/>
    <w:rsid w:val="00C868D3"/>
    <w:rsid w:val="00DC3E37"/>
    <w:rsid w:val="00E13B9B"/>
    <w:rsid w:val="00FB7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85D86E2478D42ADED16475E6986ED">
    <w:name w:val="D0585D86E2478D42ADED16475E6986ED"/>
    <w:rsid w:val="008625AC"/>
  </w:style>
  <w:style w:type="paragraph" w:customStyle="1" w:styleId="6D021546CEC79C4793BF48F1FFF0AACA">
    <w:name w:val="6D021546CEC79C4793BF48F1FFF0AACA"/>
    <w:rsid w:val="008625AC"/>
  </w:style>
  <w:style w:type="paragraph" w:customStyle="1" w:styleId="AE203B6D99E1CF4190ED3EAFC49411D6">
    <w:name w:val="AE203B6D99E1CF4190ED3EAFC49411D6"/>
    <w:rsid w:val="00862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6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DD50F2-1A3D-4FE8-A5E1-54117850F211}">
  <we:reference id="wa104382081" version="1.55.1.0" store="en-US"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3AE24718E55546B593113E6B80517D" ma:contentTypeVersion="3" ma:contentTypeDescription="Create a new document." ma:contentTypeScope="" ma:versionID="4abb7cecdc162aba939b761140d3247e">
  <xsd:schema xmlns:xsd="http://www.w3.org/2001/XMLSchema" xmlns:xs="http://www.w3.org/2001/XMLSchema" xmlns:p="http://schemas.microsoft.com/office/2006/metadata/properties" xmlns:ns2="dd5244ff-5d71-4b81-b72c-cb5cdd6d532d" targetNamespace="http://schemas.microsoft.com/office/2006/metadata/properties" ma:root="true" ma:fieldsID="7dda8be319bf8157d323443ed2f1755d" ns2:_="">
    <xsd:import namespace="dd5244ff-5d71-4b81-b72c-cb5cdd6d53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5244ff-5d71-4b81-b72c-cb5cdd6d5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5FA3F0-FC45-461F-A06C-D5DBDD9DB5CA}">
  <ds:schemaRefs>
    <ds:schemaRef ds:uri="http://schemas.microsoft.com/sharepoint/v3/contenttype/forms"/>
  </ds:schemaRefs>
</ds:datastoreItem>
</file>

<file path=customXml/itemProps2.xml><?xml version="1.0" encoding="utf-8"?>
<ds:datastoreItem xmlns:ds="http://schemas.openxmlformats.org/officeDocument/2006/customXml" ds:itemID="{83CE8FBB-EDE6-48A7-BE98-793CFDEA7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5244ff-5d71-4b81-b72c-cb5cdd6d53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57C69-53CC-4EE6-BD55-74B248F5074A}">
  <ds:schemaRefs>
    <ds:schemaRef ds:uri="http://schemas.openxmlformats.org/officeDocument/2006/bibliography"/>
  </ds:schemaRefs>
</ds:datastoreItem>
</file>

<file path=customXml/itemProps4.xml><?xml version="1.0" encoding="utf-8"?>
<ds:datastoreItem xmlns:ds="http://schemas.openxmlformats.org/officeDocument/2006/customXml" ds:itemID="{28286BB5-0B1B-465A-8D62-46C0B11959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1163</Words>
  <Characters>6631</Characters>
  <Application>Microsoft Office Word</Application>
  <DocSecurity>0</DocSecurity>
  <Lines>55</Lines>
  <Paragraphs>15</Paragraphs>
  <ScaleCrop>false</ScaleCrop>
  <Manager/>
  <Company/>
  <LinksUpToDate>false</LinksUpToDate>
  <CharactersWithSpaces>7779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ADNI Methods Template</dc:title>
  <dc:subject/>
  <dc:creator>Laboratory of Neuro Imaging, UCLA</dc:creator>
  <cp:keywords/>
  <dc:description/>
  <cp:lastModifiedBy>Shaw, Leslie</cp:lastModifiedBy>
  <cp:revision>2</cp:revision>
  <dcterms:created xsi:type="dcterms:W3CDTF">2023-09-05T18:44:00Z</dcterms:created>
  <dcterms:modified xsi:type="dcterms:W3CDTF">2023-09-05T18:44:00Z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e37bafc2-6377-38b8-9647-06e514aa9713</vt:lpwstr>
  </property>
  <property fmtid="{D5CDD505-2E9C-101B-9397-08002B2CF9AE}" pid="24" name="Mendeley Citation Style_1">
    <vt:lpwstr>http://www.zotero.org/styles/american-medical-association</vt:lpwstr>
  </property>
  <property fmtid="{D5CDD505-2E9C-101B-9397-08002B2CF9AE}" pid="25" name="ContentTypeId">
    <vt:lpwstr>0x010100283AE24718E55546B593113E6B80517D</vt:lpwstr>
  </property>
</Properties>
</file>