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bm588_clostridium_butyricum_miya_eb873e"/>
    <w:p w14:paraId="2DF7F210" w14:textId="5DC77778" w:rsidR="005216E3" w:rsidRDefault="006D6581" w:rsidP="00D616B3">
      <w:pPr>
        <w:spacing w:before="210" w:after="0" w:line="360" w:lineRule="auto"/>
      </w:pPr>
      <w:r>
        <w:rPr>
          <w:noProof/>
        </w:rPr>
      </w:r>
      <w:r>
        <w:rPr>
          <w:noProof/>
        </w:rPr>
        <w:pict w14:anchorId="02491ACB">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r w:rsidR="00000000">
        <w:rPr>
          <w:rFonts w:ascii="inter" w:eastAsia="inter" w:hAnsi="inter" w:cs="inter"/>
          <w:b/>
          <w:color w:val="000000"/>
          <w:sz w:val="39"/>
        </w:rPr>
        <w:t>CBM588（Clostridium butyricum MIYAIRI 588）：在極端醫療情境中重建腸道菌相的次世代活體生物治療產品</w:t>
      </w:r>
      <w:bookmarkEnd w:id="0"/>
    </w:p>
    <w:p w14:paraId="1C0E16C6" w14:textId="77777777" w:rsidR="005216E3" w:rsidRDefault="00000000">
      <w:pPr>
        <w:spacing w:before="315" w:after="105" w:line="360" w:lineRule="auto"/>
        <w:ind w:left="-30"/>
      </w:pPr>
      <w:bookmarkStart w:id="1" w:name="一_前言與整體概念"/>
      <w:r>
        <w:rPr>
          <w:rFonts w:ascii="inter" w:eastAsia="inter" w:hAnsi="inter" w:cs="inter"/>
          <w:b/>
          <w:color w:val="000000"/>
          <w:sz w:val="24"/>
        </w:rPr>
        <w:t>一、前言與整體概念</w:t>
      </w:r>
      <w:bookmarkEnd w:id="1"/>
    </w:p>
    <w:p w14:paraId="638C5DEE" w14:textId="77777777" w:rsidR="005216E3" w:rsidRDefault="00000000">
      <w:pPr>
        <w:spacing w:after="210" w:line="360" w:lineRule="auto"/>
      </w:pPr>
      <w:r>
        <w:rPr>
          <w:rFonts w:ascii="inter" w:eastAsia="inter" w:hAnsi="inter" w:cs="inter"/>
          <w:color w:val="000000"/>
        </w:rPr>
        <w:t>Clostridium butyricum MIYAIRI 588（以下簡稱 CBM588）屬於一種全新的微生物治療模式，與市面上以保健為訴求的傳統益生菌有本質上的不同。</w:t>
      </w:r>
      <w:bookmarkStart w:id="2" w:name="fnref1"/>
      <w:bookmarkEnd w:id="2"/>
      <w:r>
        <w:fldChar w:fldCharType="begin"/>
      </w:r>
      <w:r>
        <w:instrText>HYPERLINK \l "fn1" \h</w:instrText>
      </w:r>
      <w:r>
        <w:fldChar w:fldCharType="separate"/>
      </w:r>
      <w:r>
        <w:rPr>
          <w:rFonts w:ascii="inter" w:eastAsia="inter" w:hAnsi="inter" w:cs="inter"/>
          <w:u w:val="single"/>
          <w:vertAlign w:val="superscript"/>
          <w:lang w:eastAsia="zh-TW"/>
        </w:rPr>
        <w:t>[1]</w:t>
      </w:r>
      <w:r>
        <w:fldChar w:fldCharType="end"/>
      </w:r>
      <w:bookmarkStart w:id="3" w:name="fnref2"/>
      <w:bookmarkEnd w:id="3"/>
      <w:r>
        <w:fldChar w:fldCharType="begin"/>
      </w:r>
      <w:r>
        <w:rPr>
          <w:lang w:eastAsia="zh-TW"/>
        </w:rPr>
        <w:instrText>HYPERLINK \l "fn2" \h</w:instrText>
      </w:r>
      <w:r>
        <w:fldChar w:fldCharType="separate"/>
      </w:r>
      <w:r>
        <w:rPr>
          <w:rFonts w:ascii="inter" w:eastAsia="inter" w:hAnsi="inter" w:cs="inter"/>
          <w:u w:val="single"/>
          <w:vertAlign w:val="superscript"/>
          <w:lang w:eastAsia="zh-TW"/>
        </w:rPr>
        <w:t>[2]</w:t>
      </w:r>
      <w:r>
        <w:fldChar w:fldCharType="end"/>
      </w:r>
      <w:r>
        <w:rPr>
          <w:rFonts w:ascii="inter" w:eastAsia="inter" w:hAnsi="inter" w:cs="inter"/>
          <w:color w:val="000000"/>
          <w:lang w:eastAsia="zh-TW"/>
        </w:rPr>
        <w:br/>
        <w:t>CBM588 被定位為「活體生物治療產品」（Live Biotherapeutic Product, LBP），其核心價值在於能在抗癌治療、造血幹細胞移植、重大手術與嚴重感染等「極端醫療環境」下，仍然穩定重建腸道菌相，進而改變疾病預後，展現出真正具「治療」意義的藥品級效益。</w:t>
      </w:r>
      <w:bookmarkStart w:id="4" w:name="fnref3"/>
      <w:bookmarkEnd w:id="4"/>
      <w:r>
        <w:fldChar w:fldCharType="begin"/>
      </w:r>
      <w:r>
        <w:rPr>
          <w:lang w:eastAsia="zh-TW"/>
        </w:rPr>
        <w:instrText>HYPERLINK \l "fn3" \h</w:instrText>
      </w:r>
      <w:r>
        <w:fldChar w:fldCharType="separate"/>
      </w:r>
      <w:r>
        <w:rPr>
          <w:rFonts w:ascii="inter" w:eastAsia="inter" w:hAnsi="inter" w:cs="inter"/>
          <w:u w:val="single"/>
          <w:vertAlign w:val="superscript"/>
        </w:rPr>
        <w:t>[3]</w:t>
      </w:r>
      <w:r>
        <w:fldChar w:fldCharType="end"/>
      </w:r>
      <w:bookmarkStart w:id="5" w:name="fnref1_1"/>
      <w:bookmarkEnd w:id="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AFC4F8D" w14:textId="77777777" w:rsidR="005216E3" w:rsidRDefault="006D6581">
      <w:pPr>
        <w:spacing w:before="210" w:after="0" w:line="360" w:lineRule="auto"/>
      </w:pPr>
      <w:r>
        <w:rPr>
          <w:noProof/>
        </w:rPr>
      </w:r>
      <w:r>
        <w:rPr>
          <w:noProof/>
        </w:rPr>
        <w:pict w14:anchorId="0795648B">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8490C3" w14:textId="77777777" w:rsidR="005216E3" w:rsidRDefault="00000000">
      <w:pPr>
        <w:spacing w:before="315" w:after="105" w:line="360" w:lineRule="auto"/>
        <w:ind w:left="-30"/>
        <w:rPr>
          <w:lang w:eastAsia="zh-TW"/>
        </w:rPr>
      </w:pPr>
      <w:bookmarkStart w:id="6" w:name="二_監管與定義_為何_cbm588_不是一般益生菌"/>
      <w:r>
        <w:rPr>
          <w:rFonts w:ascii="inter" w:eastAsia="inter" w:hAnsi="inter" w:cs="inter"/>
          <w:b/>
          <w:color w:val="000000"/>
          <w:sz w:val="24"/>
          <w:lang w:eastAsia="zh-TW"/>
        </w:rPr>
        <w:t>二、監管與定義：為何 CBM588 不是一般益生菌</w:t>
      </w:r>
      <w:bookmarkEnd w:id="6"/>
    </w:p>
    <w:p w14:paraId="64B2800D" w14:textId="77777777" w:rsidR="005216E3" w:rsidRDefault="00000000">
      <w:pPr>
        <w:spacing w:before="315" w:after="105" w:line="360" w:lineRule="auto"/>
        <w:ind w:left="-30"/>
      </w:pPr>
      <w:bookmarkStart w:id="7" w:name="bm_2_1_fda_對_lbp_的正式定義"/>
      <w:r>
        <w:rPr>
          <w:rFonts w:ascii="inter" w:eastAsia="inter" w:hAnsi="inter" w:cs="inter"/>
          <w:b/>
          <w:color w:val="000000"/>
          <w:sz w:val="24"/>
        </w:rPr>
        <w:t>2.1 FDA 對 LBP 的正式定義</w:t>
      </w:r>
      <w:bookmarkEnd w:id="7"/>
    </w:p>
    <w:p w14:paraId="2EE74C30" w14:textId="77777777" w:rsidR="005216E3" w:rsidRDefault="00000000">
      <w:pPr>
        <w:spacing w:after="210" w:line="360" w:lineRule="auto"/>
      </w:pPr>
      <w:r>
        <w:rPr>
          <w:rFonts w:ascii="inter" w:eastAsia="inter" w:hAnsi="inter" w:cs="inter"/>
          <w:color w:val="000000"/>
        </w:rPr>
        <w:t>美國 FDA 在 2016 年的指引中，明確將 Live Biotherapeutic Products 定義為「含有活微生物，且目的在於預防、治療或治癒人類疾病的生物製劑」，並強調這類產品並非食品或疫苗。</w:t>
      </w:r>
      <w:bookmarkStart w:id="8" w:name="fnref4"/>
      <w:bookmarkEnd w:id="8"/>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9" w:name="fnref5"/>
      <w:bookmarkEnd w:id="9"/>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br/>
        <w:t>因此，凡欲進入臨床試驗的 LBP，都必須依《公共衛生法》第 351 條納入生物藥品管理，包括菌株鑑定、基因與表型特徵、安全性評估、效價單位（CFU）標準化、穩定性試驗以及完整的 CMC（Chemistry, Manufacturing and Control）資料。</w:t>
      </w:r>
      <w:bookmarkStart w:id="10" w:name="fnref5_1"/>
      <w:bookmarkEnd w:id="10"/>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1" w:name="fnref6"/>
      <w:bookmarkEnd w:id="11"/>
      <w:r>
        <w:fldChar w:fldCharType="begin"/>
      </w:r>
      <w:r>
        <w:instrText>HYPERLINK \l "fn6" \h</w:instrText>
      </w:r>
      <w:r>
        <w:fldChar w:fldCharType="separate"/>
      </w:r>
      <w:r>
        <w:rPr>
          <w:rFonts w:ascii="inter" w:eastAsia="inter" w:hAnsi="inter" w:cs="inter"/>
          <w:u w:val="single"/>
          <w:vertAlign w:val="superscript"/>
        </w:rPr>
        <w:t>[6]</w:t>
      </w:r>
      <w:r>
        <w:fldChar w:fldCharType="end"/>
      </w:r>
    </w:p>
    <w:p w14:paraId="7A62A2A1" w14:textId="77777777" w:rsidR="005216E3" w:rsidRDefault="00000000">
      <w:pPr>
        <w:spacing w:after="210" w:line="360" w:lineRule="auto"/>
      </w:pPr>
      <w:r>
        <w:rPr>
          <w:rFonts w:ascii="inter" w:eastAsia="inter" w:hAnsi="inter" w:cs="inter"/>
          <w:color w:val="000000"/>
        </w:rPr>
        <w:t>目前 FDA 已正式核准的 LBP 僅有兩項：Rebyota 與 Vowst，皆為用於治療反覆感染 Clostridioides difficile 的糞菌移植衍生製劑，顯示 LBP 仍屬高度門檻的創新藥品領域。</w:t>
      </w:r>
      <w:bookmarkStart w:id="12" w:name="fnref7"/>
      <w:bookmarkEnd w:id="1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3" w:name="fnref4_1"/>
      <w:bookmarkEnd w:id="13"/>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br/>
        <w:t>CBM588 雖尚未取得 FDA 核准，但其臨床研究與開發流程皆遵循 LBP 的 IND（Investigational New Drug）規範，定位上完全不同於一般保健食品級益生菌。</w:t>
      </w:r>
      <w:bookmarkStart w:id="14" w:name="fnref6_1"/>
      <w:bookmarkEnd w:id="14"/>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5" w:name="fnref4_2"/>
      <w:bookmarkEnd w:id="15"/>
      <w:r>
        <w:fldChar w:fldCharType="begin"/>
      </w:r>
      <w:r>
        <w:instrText>HYPERLINK \l "fn4" \h</w:instrText>
      </w:r>
      <w:r>
        <w:fldChar w:fldCharType="separate"/>
      </w:r>
      <w:r>
        <w:rPr>
          <w:rFonts w:ascii="inter" w:eastAsia="inter" w:hAnsi="inter" w:cs="inter"/>
          <w:u w:val="single"/>
          <w:vertAlign w:val="superscript"/>
        </w:rPr>
        <w:t>[4]</w:t>
      </w:r>
      <w:r>
        <w:fldChar w:fldCharType="end"/>
      </w:r>
    </w:p>
    <w:p w14:paraId="3505E87C" w14:textId="77777777" w:rsidR="005216E3" w:rsidRDefault="00000000">
      <w:pPr>
        <w:spacing w:before="315" w:after="105" w:line="360" w:lineRule="auto"/>
        <w:ind w:left="-30"/>
        <w:rPr>
          <w:lang w:eastAsia="zh-TW"/>
        </w:rPr>
      </w:pPr>
      <w:bookmarkStart w:id="16" w:name="bm_2_2_各國監管定位與既有使用經驗"/>
      <w:r>
        <w:rPr>
          <w:rFonts w:ascii="inter" w:eastAsia="inter" w:hAnsi="inter" w:cs="inter"/>
          <w:b/>
          <w:color w:val="000000"/>
          <w:sz w:val="24"/>
          <w:lang w:eastAsia="zh-TW"/>
        </w:rPr>
        <w:t>2.2 各國監管定位與既有使用經驗</w:t>
      </w:r>
      <w:bookmarkEnd w:id="16"/>
    </w:p>
    <w:p w14:paraId="3EB4A966" w14:textId="77777777" w:rsidR="005216E3" w:rsidRDefault="00000000">
      <w:pPr>
        <w:spacing w:after="210" w:line="360" w:lineRule="auto"/>
        <w:rPr>
          <w:lang w:eastAsia="zh-TW"/>
        </w:rPr>
      </w:pPr>
      <w:r>
        <w:rPr>
          <w:rFonts w:ascii="inter" w:eastAsia="inter" w:hAnsi="inter" w:cs="inter"/>
          <w:color w:val="000000"/>
          <w:lang w:eastAsia="zh-TW"/>
        </w:rPr>
        <w:lastRenderedPageBreak/>
        <w:t>日本早已以處方藥形式販售 CBM588，商品名為 MIYA-BM，主要用於各類腸道相關疾患，累積了數十年的使用與藥害監測資料，未見重大安全疑慮。</w:t>
      </w:r>
      <w:bookmarkStart w:id="17" w:name="fnref8"/>
      <w:bookmarkEnd w:id="17"/>
      <w:r>
        <w:fldChar w:fldCharType="begin"/>
      </w:r>
      <w:r>
        <w:rPr>
          <w:lang w:eastAsia="zh-TW"/>
        </w:rPr>
        <w:instrText>HYPERLINK \l "fn8" \h</w:instrText>
      </w:r>
      <w:r>
        <w:fldChar w:fldCharType="separate"/>
      </w:r>
      <w:r>
        <w:rPr>
          <w:rFonts w:ascii="inter" w:eastAsia="inter" w:hAnsi="inter" w:cs="inter"/>
          <w:u w:val="single"/>
          <w:vertAlign w:val="superscript"/>
          <w:lang w:eastAsia="zh-TW"/>
        </w:rPr>
        <w:t>[8]</w:t>
      </w:r>
      <w:r>
        <w:fldChar w:fldCharType="end"/>
      </w:r>
      <w:bookmarkStart w:id="18" w:name="fnref3_1"/>
      <w:bookmarkEnd w:id="18"/>
      <w:r>
        <w:fldChar w:fldCharType="begin"/>
      </w:r>
      <w:r>
        <w:rPr>
          <w:lang w:eastAsia="zh-TW"/>
        </w:rPr>
        <w:instrText>HYPERLINK \l "fn3" \h</w:instrText>
      </w:r>
      <w:r>
        <w:fldChar w:fldCharType="separate"/>
      </w:r>
      <w:r>
        <w:rPr>
          <w:rFonts w:ascii="inter" w:eastAsia="inter" w:hAnsi="inter" w:cs="inter"/>
          <w:u w:val="single"/>
          <w:vertAlign w:val="superscript"/>
          <w:lang w:eastAsia="zh-TW"/>
        </w:rPr>
        <w:t>[3]</w:t>
      </w:r>
      <w:r>
        <w:fldChar w:fldCharType="end"/>
      </w:r>
      <w:r>
        <w:rPr>
          <w:rFonts w:ascii="inter" w:eastAsia="inter" w:hAnsi="inter" w:cs="inter"/>
          <w:color w:val="000000"/>
          <w:lang w:eastAsia="zh-TW"/>
        </w:rPr>
        <w:br/>
        <w:t>台灣食藥署（TFDA）則將 LBP 歸入生物製劑管理，須依藥品途徑辦理查驗登記，而不可僅以健康食品或一般食品身份上市。</w:t>
      </w:r>
      <w:bookmarkStart w:id="19" w:name="fnref4_3"/>
      <w:bookmarkEnd w:id="19"/>
      <w:r>
        <w:fldChar w:fldCharType="begin"/>
      </w:r>
      <w:r>
        <w:rPr>
          <w:lang w:eastAsia="zh-TW"/>
        </w:rPr>
        <w:instrText>HYPERLINK \l "fn4" \h</w:instrText>
      </w:r>
      <w:r>
        <w:fldChar w:fldCharType="separate"/>
      </w:r>
      <w:r>
        <w:rPr>
          <w:rFonts w:ascii="inter" w:eastAsia="inter" w:hAnsi="inter" w:cs="inter"/>
          <w:u w:val="single"/>
          <w:vertAlign w:val="superscript"/>
          <w:lang w:eastAsia="zh-TW"/>
        </w:rPr>
        <w:t>[4]</w:t>
      </w:r>
      <w:r>
        <w:fldChar w:fldCharType="end"/>
      </w:r>
      <w:r>
        <w:rPr>
          <w:rFonts w:ascii="inter" w:eastAsia="inter" w:hAnsi="inter" w:cs="inter"/>
          <w:color w:val="000000"/>
          <w:lang w:eastAsia="zh-TW"/>
        </w:rPr>
        <w:br/>
        <w:t>在歐洲，CBM588 以動物飼料添加物與食品安全評估的形式被認可，其安全性已透過多國監測系統獲得支持，並間接強化了其在人體使用上的安全基礎。</w:t>
      </w:r>
      <w:bookmarkStart w:id="20" w:name="fnref1_2"/>
      <w:bookmarkEnd w:id="20"/>
      <w:r>
        <w:fldChar w:fldCharType="begin"/>
      </w:r>
      <w:r>
        <w:rPr>
          <w:lang w:eastAsia="zh-TW"/>
        </w:rPr>
        <w:instrText>HYPERLINK \l "fn1" \h</w:instrText>
      </w:r>
      <w:r>
        <w:fldChar w:fldCharType="separate"/>
      </w:r>
      <w:r>
        <w:rPr>
          <w:rFonts w:ascii="inter" w:eastAsia="inter" w:hAnsi="inter" w:cs="inter"/>
          <w:u w:val="single"/>
          <w:vertAlign w:val="superscript"/>
          <w:lang w:eastAsia="zh-TW"/>
        </w:rPr>
        <w:t>[1]</w:t>
      </w:r>
      <w:r>
        <w:fldChar w:fldCharType="end"/>
      </w:r>
      <w:bookmarkStart w:id="21" w:name="fnref4_4"/>
      <w:bookmarkEnd w:id="21"/>
      <w:r>
        <w:fldChar w:fldCharType="begin"/>
      </w:r>
      <w:r>
        <w:rPr>
          <w:lang w:eastAsia="zh-TW"/>
        </w:rPr>
        <w:instrText>HYPERLINK \l "fn4" \h</w:instrText>
      </w:r>
      <w:r>
        <w:fldChar w:fldCharType="separate"/>
      </w:r>
      <w:r>
        <w:rPr>
          <w:rFonts w:ascii="inter" w:eastAsia="inter" w:hAnsi="inter" w:cs="inter"/>
          <w:u w:val="single"/>
          <w:vertAlign w:val="superscript"/>
          <w:lang w:eastAsia="zh-TW"/>
        </w:rPr>
        <w:t>[4]</w:t>
      </w:r>
      <w:r>
        <w:fldChar w:fldCharType="end"/>
      </w:r>
    </w:p>
    <w:p w14:paraId="33D38B6B" w14:textId="77777777" w:rsidR="005216E3" w:rsidRDefault="00000000">
      <w:pPr>
        <w:spacing w:after="210" w:line="360" w:lineRule="auto"/>
      </w:pPr>
      <w:r>
        <w:rPr>
          <w:rFonts w:ascii="inter" w:eastAsia="inter" w:hAnsi="inter" w:cs="inter"/>
          <w:color w:val="000000"/>
          <w:lang w:eastAsia="zh-TW"/>
        </w:rPr>
        <w:t>這樣的跨國監管背景，說明 CBM588 的定位是「治療用活菌藥品」，而非一般保健用菌粉，臨床使用時須有醫師參與評估與監測。</w:t>
      </w:r>
      <w:bookmarkStart w:id="22" w:name="fnref6_2"/>
      <w:bookmarkEnd w:id="22"/>
      <w:r>
        <w:fldChar w:fldCharType="begin"/>
      </w:r>
      <w:r>
        <w:rPr>
          <w:lang w:eastAsia="zh-TW"/>
        </w:rPr>
        <w:instrText>HYPERLINK \l "fn6" \h</w:instrText>
      </w:r>
      <w:r>
        <w:fldChar w:fldCharType="separate"/>
      </w:r>
      <w:r>
        <w:rPr>
          <w:rFonts w:ascii="inter" w:eastAsia="inter" w:hAnsi="inter" w:cs="inter"/>
          <w:u w:val="single"/>
          <w:vertAlign w:val="superscript"/>
        </w:rPr>
        <w:t>[6]</w:t>
      </w:r>
      <w:r>
        <w:fldChar w:fldCharType="end"/>
      </w:r>
      <w:bookmarkStart w:id="23" w:name="fnref4_5"/>
      <w:bookmarkEnd w:id="23"/>
      <w:r>
        <w:fldChar w:fldCharType="begin"/>
      </w:r>
      <w:r>
        <w:instrText>HYPERLINK \l "fn4" \h</w:instrText>
      </w:r>
      <w:r>
        <w:fldChar w:fldCharType="separate"/>
      </w:r>
      <w:r>
        <w:rPr>
          <w:rFonts w:ascii="inter" w:eastAsia="inter" w:hAnsi="inter" w:cs="inter"/>
          <w:u w:val="single"/>
          <w:vertAlign w:val="superscript"/>
        </w:rPr>
        <w:t>[4]</w:t>
      </w:r>
      <w:r>
        <w:fldChar w:fldCharType="end"/>
      </w:r>
    </w:p>
    <w:p w14:paraId="559847C9" w14:textId="77777777" w:rsidR="005216E3" w:rsidRDefault="006D6581">
      <w:pPr>
        <w:spacing w:before="210" w:after="0" w:line="360" w:lineRule="auto"/>
      </w:pPr>
      <w:r>
        <w:rPr>
          <w:noProof/>
        </w:rPr>
      </w:r>
      <w:r>
        <w:rPr>
          <w:noProof/>
        </w:rPr>
        <w:pict w14:anchorId="4C61476E">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06C189" w14:textId="77777777" w:rsidR="005216E3" w:rsidRDefault="00000000">
      <w:pPr>
        <w:spacing w:before="315" w:after="105" w:line="360" w:lineRule="auto"/>
        <w:ind w:left="-30"/>
        <w:rPr>
          <w:lang w:eastAsia="zh-TW"/>
        </w:rPr>
      </w:pPr>
      <w:bookmarkStart w:id="24" w:name="三_為何說_cbm588_是_次世代益生菌藥品_而非傳統益生菌"/>
      <w:r>
        <w:rPr>
          <w:rFonts w:ascii="inter" w:eastAsia="inter" w:hAnsi="inter" w:cs="inter"/>
          <w:b/>
          <w:color w:val="000000"/>
          <w:sz w:val="24"/>
          <w:lang w:eastAsia="zh-TW"/>
        </w:rPr>
        <w:t>三、為何說 CBM588 是「次世代益生菌藥品」而非傳統益生菌</w:t>
      </w:r>
      <w:bookmarkEnd w:id="24"/>
    </w:p>
    <w:p w14:paraId="743B849A" w14:textId="77777777" w:rsidR="005216E3" w:rsidRDefault="00000000">
      <w:pPr>
        <w:spacing w:before="315" w:after="105" w:line="360" w:lineRule="auto"/>
        <w:ind w:left="-30"/>
        <w:rPr>
          <w:lang w:eastAsia="zh-TW"/>
        </w:rPr>
      </w:pPr>
      <w:bookmarkStart w:id="25" w:name="bm_3_1_單一明確菌株_基因安全性"/>
      <w:r>
        <w:rPr>
          <w:rFonts w:ascii="inter" w:eastAsia="inter" w:hAnsi="inter" w:cs="inter"/>
          <w:b/>
          <w:color w:val="000000"/>
          <w:sz w:val="24"/>
          <w:lang w:eastAsia="zh-TW"/>
        </w:rPr>
        <w:t>3.1 單一明確菌株 + 基因安全性</w:t>
      </w:r>
      <w:bookmarkEnd w:id="25"/>
    </w:p>
    <w:p w14:paraId="2A5AEE00" w14:textId="77777777" w:rsidR="005216E3" w:rsidRDefault="00000000">
      <w:pPr>
        <w:spacing w:after="210" w:line="360" w:lineRule="auto"/>
        <w:rPr>
          <w:lang w:eastAsia="zh-TW"/>
        </w:rPr>
      </w:pPr>
      <w:r>
        <w:rPr>
          <w:rFonts w:ascii="inter" w:eastAsia="inter" w:hAnsi="inter" w:cs="inter"/>
          <w:color w:val="000000"/>
          <w:lang w:eastAsia="zh-TW"/>
        </w:rPr>
        <w:t>CBM588 是單一、全基因體定序且無毒素基因的 Clostridium butyricum MIYAIRI 588 菌株，屬於革蘭氏陽性、厭氧、會形成芽孢的丁酸梭菌。</w:t>
      </w:r>
      <w:bookmarkStart w:id="26" w:name="fnref9"/>
      <w:bookmarkEnd w:id="26"/>
      <w:r>
        <w:fldChar w:fldCharType="begin"/>
      </w:r>
      <w:r>
        <w:rPr>
          <w:lang w:eastAsia="zh-TW"/>
        </w:rPr>
        <w:instrText>HYPERLINK \l "fn9" \h</w:instrText>
      </w:r>
      <w:r>
        <w:fldChar w:fldCharType="separate"/>
      </w:r>
      <w:r>
        <w:rPr>
          <w:rFonts w:ascii="inter" w:eastAsia="inter" w:hAnsi="inter" w:cs="inter"/>
          <w:u w:val="single"/>
          <w:vertAlign w:val="superscript"/>
          <w:lang w:eastAsia="zh-TW"/>
        </w:rPr>
        <w:t>[9]</w:t>
      </w:r>
      <w:r>
        <w:fldChar w:fldCharType="end"/>
      </w:r>
      <w:bookmarkStart w:id="27" w:name="fnref8_1"/>
      <w:bookmarkEnd w:id="27"/>
      <w:r>
        <w:fldChar w:fldCharType="begin"/>
      </w:r>
      <w:r>
        <w:rPr>
          <w:lang w:eastAsia="zh-TW"/>
        </w:rPr>
        <w:instrText>HYPERLINK \l "fn8" \h</w:instrText>
      </w:r>
      <w:r>
        <w:fldChar w:fldCharType="separate"/>
      </w:r>
      <w:r>
        <w:rPr>
          <w:rFonts w:ascii="inter" w:eastAsia="inter" w:hAnsi="inter" w:cs="inter"/>
          <w:u w:val="single"/>
          <w:vertAlign w:val="superscript"/>
          <w:lang w:eastAsia="zh-TW"/>
        </w:rPr>
        <w:t>[8]</w:t>
      </w:r>
      <w:r>
        <w:fldChar w:fldCharType="end"/>
      </w:r>
      <w:r>
        <w:rPr>
          <w:rFonts w:ascii="inter" w:eastAsia="inter" w:hAnsi="inter" w:cs="inter"/>
          <w:color w:val="000000"/>
          <w:lang w:eastAsia="zh-TW"/>
        </w:rPr>
        <w:br/>
        <w:t>研究證實該菌株不帶有典型梭菌毒素基因，亦無致病性相關的毒力島，在品質控管上可以做到批次間高度一致，這點與市面上成分不明或批次差異較大的複合型益生菌產品有根本差異。</w:t>
      </w:r>
      <w:bookmarkStart w:id="28" w:name="fnref8_2"/>
      <w:bookmarkEnd w:id="28"/>
      <w:r>
        <w:fldChar w:fldCharType="begin"/>
      </w:r>
      <w:r>
        <w:rPr>
          <w:lang w:eastAsia="zh-TW"/>
        </w:rPr>
        <w:instrText>HYPERLINK \l "fn8" \h</w:instrText>
      </w:r>
      <w:r>
        <w:fldChar w:fldCharType="separate"/>
      </w:r>
      <w:r>
        <w:rPr>
          <w:rFonts w:ascii="inter" w:eastAsia="inter" w:hAnsi="inter" w:cs="inter"/>
          <w:u w:val="single"/>
          <w:vertAlign w:val="superscript"/>
          <w:lang w:eastAsia="zh-TW"/>
        </w:rPr>
        <w:t>[8]</w:t>
      </w:r>
      <w:r>
        <w:fldChar w:fldCharType="end"/>
      </w:r>
      <w:bookmarkStart w:id="29" w:name="fnref6_3"/>
      <w:bookmarkEnd w:id="29"/>
      <w:r>
        <w:fldChar w:fldCharType="begin"/>
      </w:r>
      <w:r>
        <w:rPr>
          <w:lang w:eastAsia="zh-TW"/>
        </w:rPr>
        <w:instrText>HYPERLINK \l "fn6" \h</w:instrText>
      </w:r>
      <w:r>
        <w:fldChar w:fldCharType="separate"/>
      </w:r>
      <w:r>
        <w:rPr>
          <w:rFonts w:ascii="inter" w:eastAsia="inter" w:hAnsi="inter" w:cs="inter"/>
          <w:u w:val="single"/>
          <w:vertAlign w:val="superscript"/>
          <w:lang w:eastAsia="zh-TW"/>
        </w:rPr>
        <w:t>[6]</w:t>
      </w:r>
      <w:r>
        <w:fldChar w:fldCharType="end"/>
      </w:r>
    </w:p>
    <w:p w14:paraId="7D69389C" w14:textId="77777777" w:rsidR="005216E3" w:rsidRDefault="00000000">
      <w:pPr>
        <w:spacing w:before="315" w:after="105" w:line="360" w:lineRule="auto"/>
        <w:ind w:left="-30"/>
        <w:rPr>
          <w:lang w:eastAsia="zh-TW"/>
        </w:rPr>
      </w:pPr>
      <w:bookmarkStart w:id="30" w:name="bm_3_2_嚴格的製程與藥品級規格"/>
      <w:r>
        <w:rPr>
          <w:rFonts w:ascii="inter" w:eastAsia="inter" w:hAnsi="inter" w:cs="inter"/>
          <w:b/>
          <w:color w:val="000000"/>
          <w:sz w:val="24"/>
          <w:lang w:eastAsia="zh-TW"/>
        </w:rPr>
        <w:t>3.2 嚴格的製程與藥品級規格</w:t>
      </w:r>
      <w:bookmarkEnd w:id="30"/>
    </w:p>
    <w:p w14:paraId="48ADA4DE" w14:textId="77777777" w:rsidR="005216E3" w:rsidRDefault="00000000">
      <w:pPr>
        <w:spacing w:after="210" w:line="360" w:lineRule="auto"/>
        <w:rPr>
          <w:lang w:eastAsia="zh-TW"/>
        </w:rPr>
      </w:pPr>
      <w:r>
        <w:rPr>
          <w:rFonts w:ascii="inter" w:eastAsia="inter" w:hAnsi="inter" w:cs="inter"/>
          <w:color w:val="000000"/>
          <w:lang w:eastAsia="zh-TW"/>
        </w:rPr>
        <w:t>在製造層面，CBM588 的每一膠囊或錠劑都須標示精確的 CFU（通常為 10</w:t>
      </w:r>
      <w:r>
        <w:rPr>
          <w:rFonts w:ascii="inter" w:eastAsia="inter" w:hAnsi="inter" w:cs="inter"/>
          <w:color w:val="000000"/>
          <w:vertAlign w:val="superscript"/>
          <w:lang w:eastAsia="zh-TW"/>
        </w:rPr>
        <w:t>7–10</w:t>
      </w:r>
      <w:r>
        <w:rPr>
          <w:rFonts w:ascii="inter" w:eastAsia="inter" w:hAnsi="inter" w:cs="inter"/>
          <w:color w:val="000000"/>
          <w:lang w:eastAsia="zh-TW"/>
        </w:rPr>
        <w:t>8 CFU/劑量），並通過 GMP 製程、雜菌檢測、基因鑑別及穩定性試驗，這些條件遠超過一般保健食品要求。</w:t>
      </w:r>
      <w:bookmarkStart w:id="31" w:name="fnref4_6"/>
      <w:bookmarkEnd w:id="31"/>
      <w:r>
        <w:fldChar w:fldCharType="begin"/>
      </w:r>
      <w:r>
        <w:rPr>
          <w:lang w:eastAsia="zh-TW"/>
        </w:rPr>
        <w:instrText>HYPERLINK \l "fn4" \h</w:instrText>
      </w:r>
      <w:r>
        <w:fldChar w:fldCharType="separate"/>
      </w:r>
      <w:r>
        <w:rPr>
          <w:rFonts w:ascii="inter" w:eastAsia="inter" w:hAnsi="inter" w:cs="inter"/>
          <w:u w:val="single"/>
          <w:vertAlign w:val="superscript"/>
          <w:lang w:eastAsia="zh-TW"/>
        </w:rPr>
        <w:t>[4]</w:t>
      </w:r>
      <w:r>
        <w:fldChar w:fldCharType="end"/>
      </w:r>
      <w:bookmarkStart w:id="32" w:name="fnref6_4"/>
      <w:bookmarkEnd w:id="32"/>
      <w:r>
        <w:fldChar w:fldCharType="begin"/>
      </w:r>
      <w:r>
        <w:rPr>
          <w:lang w:eastAsia="zh-TW"/>
        </w:rPr>
        <w:instrText>HYPERLINK \l "fn6" \h</w:instrText>
      </w:r>
      <w:r>
        <w:fldChar w:fldCharType="separate"/>
      </w:r>
      <w:r>
        <w:rPr>
          <w:rFonts w:ascii="inter" w:eastAsia="inter" w:hAnsi="inter" w:cs="inter"/>
          <w:u w:val="single"/>
          <w:vertAlign w:val="superscript"/>
          <w:lang w:eastAsia="zh-TW"/>
        </w:rPr>
        <w:t>[6]</w:t>
      </w:r>
      <w:r>
        <w:fldChar w:fldCharType="end"/>
      </w:r>
      <w:r>
        <w:rPr>
          <w:rFonts w:ascii="inter" w:eastAsia="inter" w:hAnsi="inter" w:cs="inter"/>
          <w:color w:val="000000"/>
          <w:lang w:eastAsia="zh-TW"/>
        </w:rPr>
        <w:br/>
        <w:t>此外，CBM588 由於能形成芽孢，在室溫、酸性環境以及多種抗生素壓力下仍具高度存活力，使其能在化療、免疫治療或長期抗生素使用中維持腸道定植，這正是其被視為「極端環境專用」活菌藥品的關鍵。</w:t>
      </w:r>
      <w:bookmarkStart w:id="33" w:name="fnref3_2"/>
      <w:bookmarkEnd w:id="33"/>
      <w:r>
        <w:fldChar w:fldCharType="begin"/>
      </w:r>
      <w:r>
        <w:rPr>
          <w:lang w:eastAsia="zh-TW"/>
        </w:rPr>
        <w:instrText>HYPERLINK \l "fn3" \h</w:instrText>
      </w:r>
      <w:r>
        <w:fldChar w:fldCharType="separate"/>
      </w:r>
      <w:r>
        <w:rPr>
          <w:rFonts w:ascii="inter" w:eastAsia="inter" w:hAnsi="inter" w:cs="inter"/>
          <w:u w:val="single"/>
          <w:vertAlign w:val="superscript"/>
          <w:lang w:eastAsia="zh-TW"/>
        </w:rPr>
        <w:t>[3]</w:t>
      </w:r>
      <w:r>
        <w:fldChar w:fldCharType="end"/>
      </w:r>
      <w:bookmarkStart w:id="34" w:name="fnref8_3"/>
      <w:bookmarkEnd w:id="34"/>
      <w:r>
        <w:fldChar w:fldCharType="begin"/>
      </w:r>
      <w:r>
        <w:rPr>
          <w:lang w:eastAsia="zh-TW"/>
        </w:rPr>
        <w:instrText>HYPERLINK \l "fn8" \h</w:instrText>
      </w:r>
      <w:r>
        <w:fldChar w:fldCharType="separate"/>
      </w:r>
      <w:r>
        <w:rPr>
          <w:rFonts w:ascii="inter" w:eastAsia="inter" w:hAnsi="inter" w:cs="inter"/>
          <w:u w:val="single"/>
          <w:vertAlign w:val="superscript"/>
          <w:lang w:eastAsia="zh-TW"/>
        </w:rPr>
        <w:t>[8]</w:t>
      </w:r>
      <w:r>
        <w:fldChar w:fldCharType="end"/>
      </w:r>
    </w:p>
    <w:p w14:paraId="489ABD94" w14:textId="77777777" w:rsidR="005216E3" w:rsidRDefault="00000000">
      <w:pPr>
        <w:spacing w:before="315" w:after="105" w:line="360" w:lineRule="auto"/>
        <w:ind w:left="-30"/>
        <w:rPr>
          <w:lang w:eastAsia="zh-TW"/>
        </w:rPr>
      </w:pPr>
      <w:bookmarkStart w:id="35" w:name="bm_3_3_作用目標_治療_失衡的微生態_而非單純改善消化"/>
      <w:r>
        <w:rPr>
          <w:rFonts w:ascii="inter" w:eastAsia="inter" w:hAnsi="inter" w:cs="inter"/>
          <w:b/>
          <w:color w:val="000000"/>
          <w:sz w:val="24"/>
          <w:lang w:eastAsia="zh-TW"/>
        </w:rPr>
        <w:t>3.3 作用目標：治療「失衡的微生態」，而非單純改善消化</w:t>
      </w:r>
      <w:bookmarkEnd w:id="35"/>
    </w:p>
    <w:p w14:paraId="7367A3F0" w14:textId="77777777" w:rsidR="005216E3" w:rsidRDefault="00000000">
      <w:pPr>
        <w:spacing w:after="210" w:line="360" w:lineRule="auto"/>
      </w:pPr>
      <w:r>
        <w:rPr>
          <w:rFonts w:ascii="inter" w:eastAsia="inter" w:hAnsi="inter" w:cs="inter"/>
          <w:color w:val="000000"/>
          <w:lang w:eastAsia="zh-TW"/>
        </w:rPr>
        <w:t>傳統益生菌往往主打「調整體質」、「改善排便」等泛用訴求，臨床試驗設計也多以症狀改善為主要端點。</w:t>
      </w:r>
      <w:bookmarkStart w:id="36" w:name="fnref10"/>
      <w:bookmarkEnd w:id="36"/>
      <w:r>
        <w:fldChar w:fldCharType="begin"/>
      </w:r>
      <w:r>
        <w:rPr>
          <w:lang w:eastAsia="zh-TW"/>
        </w:rPr>
        <w:instrText>HYPERLINK \l "fn10" \h</w:instrText>
      </w:r>
      <w:r>
        <w:fldChar w:fldCharType="separate"/>
      </w:r>
      <w:r>
        <w:rPr>
          <w:rFonts w:ascii="inter" w:eastAsia="inter" w:hAnsi="inter" w:cs="inter"/>
          <w:u w:val="single"/>
          <w:vertAlign w:val="superscript"/>
          <w:lang w:eastAsia="zh-TW"/>
        </w:rPr>
        <w:t>[10]</w:t>
      </w:r>
      <w:r>
        <w:fldChar w:fldCharType="end"/>
      </w:r>
      <w:r>
        <w:rPr>
          <w:rFonts w:ascii="inter" w:eastAsia="inter" w:hAnsi="inter" w:cs="inter"/>
          <w:color w:val="000000"/>
          <w:lang w:eastAsia="zh-TW"/>
        </w:rPr>
        <w:br/>
        <w:t>CBM588 的研究方向則聚焦在「微生態失衡（dysbiosis）相關疾病」的治療，包括免疫檢查點抑制劑（ICI）治療下的癌症、抗生素相關腸炎、造血幹細胞移植後的腸道菌崩壞以及大型手術後的腸道功能恢</w:t>
      </w:r>
      <w:r>
        <w:rPr>
          <w:rFonts w:ascii="inter" w:eastAsia="inter" w:hAnsi="inter" w:cs="inter"/>
          <w:color w:val="000000"/>
          <w:lang w:eastAsia="zh-TW"/>
        </w:rPr>
        <w:lastRenderedPageBreak/>
        <w:t>復，端點多為無惡化存活（PFS）、整體存活（OS）、菌相多樣性與免疫指標，而不僅是腹脹或便秘等主觀症狀。</w:t>
      </w:r>
      <w:bookmarkStart w:id="37" w:name="fnref11"/>
      <w:bookmarkEnd w:id="37"/>
      <w:r>
        <w:fldChar w:fldCharType="begin"/>
      </w:r>
      <w:r>
        <w:rPr>
          <w:lang w:eastAsia="zh-TW"/>
        </w:rPr>
        <w:instrText>HYPERLINK \l "fn11" \h</w:instrText>
      </w:r>
      <w:r>
        <w:fldChar w:fldCharType="separate"/>
      </w:r>
      <w:r>
        <w:rPr>
          <w:rFonts w:ascii="inter" w:eastAsia="inter" w:hAnsi="inter" w:cs="inter"/>
          <w:u w:val="single"/>
          <w:vertAlign w:val="superscript"/>
        </w:rPr>
        <w:t>[11]</w:t>
      </w:r>
      <w:r>
        <w:fldChar w:fldCharType="end"/>
      </w:r>
      <w:bookmarkStart w:id="38" w:name="fnref2_1"/>
      <w:bookmarkEnd w:id="38"/>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39" w:name="fnref1_3"/>
      <w:bookmarkEnd w:id="3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40" w:name="fnref3_3"/>
      <w:bookmarkEnd w:id="40"/>
      <w:r>
        <w:fldChar w:fldCharType="begin"/>
      </w:r>
      <w:r>
        <w:instrText>HYPERLINK \l "fn3" \h</w:instrText>
      </w:r>
      <w:r>
        <w:fldChar w:fldCharType="separate"/>
      </w:r>
      <w:r>
        <w:rPr>
          <w:rFonts w:ascii="inter" w:eastAsia="inter" w:hAnsi="inter" w:cs="inter"/>
          <w:u w:val="single"/>
          <w:vertAlign w:val="superscript"/>
        </w:rPr>
        <w:t>[3]</w:t>
      </w:r>
      <w:r>
        <w:fldChar w:fldCharType="end"/>
      </w:r>
    </w:p>
    <w:p w14:paraId="6A0931D6" w14:textId="77777777" w:rsidR="005216E3" w:rsidRDefault="006D6581">
      <w:pPr>
        <w:spacing w:before="210" w:after="0" w:line="360" w:lineRule="auto"/>
      </w:pPr>
      <w:r>
        <w:rPr>
          <w:noProof/>
        </w:rPr>
      </w:r>
      <w:r>
        <w:rPr>
          <w:noProof/>
        </w:rPr>
        <w:pict w14:anchorId="11D88EAD">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C9BE1F" w14:textId="77777777" w:rsidR="005216E3" w:rsidRDefault="00000000">
      <w:pPr>
        <w:spacing w:before="315" w:after="105" w:line="360" w:lineRule="auto"/>
        <w:ind w:left="-30"/>
        <w:rPr>
          <w:lang w:eastAsia="zh-TW"/>
        </w:rPr>
      </w:pPr>
      <w:bookmarkStart w:id="41" w:name="四_臨床證據_cbm588_在極端醫療情境下的療效"/>
      <w:r>
        <w:rPr>
          <w:rFonts w:ascii="inter" w:eastAsia="inter" w:hAnsi="inter" w:cs="inter"/>
          <w:b/>
          <w:color w:val="000000"/>
          <w:sz w:val="24"/>
          <w:lang w:eastAsia="zh-TW"/>
        </w:rPr>
        <w:t>四、臨床證據：CBM588 在極端醫療情境下的療效</w:t>
      </w:r>
      <w:bookmarkEnd w:id="41"/>
    </w:p>
    <w:p w14:paraId="3F8FB43B" w14:textId="77777777" w:rsidR="005216E3" w:rsidRDefault="00000000">
      <w:pPr>
        <w:spacing w:before="315" w:after="105" w:line="360" w:lineRule="auto"/>
        <w:ind w:left="-30"/>
        <w:rPr>
          <w:lang w:eastAsia="zh-TW"/>
        </w:rPr>
      </w:pPr>
      <w:bookmarkStart w:id="42" w:name="bm_4_1_轉移性腎細胞癌_與_ici_聯合的隨機試驗"/>
      <w:r>
        <w:rPr>
          <w:rFonts w:ascii="inter" w:eastAsia="inter" w:hAnsi="inter" w:cs="inter"/>
          <w:b/>
          <w:color w:val="000000"/>
          <w:sz w:val="24"/>
          <w:lang w:eastAsia="zh-TW"/>
        </w:rPr>
        <w:t>4.1 轉移性腎細胞癌：與 ICI 聯合的隨機試驗</w:t>
      </w:r>
      <w:bookmarkEnd w:id="42"/>
    </w:p>
    <w:p w14:paraId="070216C6" w14:textId="77777777" w:rsidR="005216E3" w:rsidRDefault="00000000">
      <w:pPr>
        <w:spacing w:before="315" w:after="105" w:line="360" w:lineRule="auto"/>
        <w:ind w:left="-30"/>
      </w:pPr>
      <w:bookmarkStart w:id="43" w:name="bm_4_1_1_nivolumab_ipilimumab_cbm588"/>
      <w:r>
        <w:rPr>
          <w:rFonts w:ascii="inter" w:eastAsia="inter" w:hAnsi="inter" w:cs="inter"/>
          <w:b/>
          <w:color w:val="000000"/>
          <w:sz w:val="24"/>
        </w:rPr>
        <w:t>4.1.1 Nivolumab + Ipilimumab ± CBM588</w:t>
      </w:r>
      <w:bookmarkEnd w:id="43"/>
    </w:p>
    <w:p w14:paraId="76306D83" w14:textId="77777777" w:rsidR="005216E3" w:rsidRDefault="00000000">
      <w:pPr>
        <w:spacing w:after="210" w:line="360" w:lineRule="auto"/>
        <w:rPr>
          <w:lang w:eastAsia="zh-TW"/>
        </w:rPr>
      </w:pPr>
      <w:r>
        <w:rPr>
          <w:rFonts w:ascii="inter" w:eastAsia="inter" w:hAnsi="inter" w:cs="inter"/>
          <w:color w:val="000000"/>
        </w:rPr>
        <w:t>Dizman 等人在《Nature Medicine》報告一項 phase Ib 隨機試驗，收納 30 位接受第一線 nivolumab + ipilimumab 治療的轉移性腎細胞癌患者，依 2:1 比例分配接受標準 ICI 或 ICI 聯合 CBM588。</w:t>
      </w:r>
      <w:bookmarkStart w:id="44" w:name="fnref11_1"/>
      <w:bookmarkEnd w:id="44"/>
      <w:r>
        <w:fldChar w:fldCharType="begin"/>
      </w:r>
      <w:r>
        <w:instrText>HYPERLINK \l "fn11" \h</w:instrText>
      </w:r>
      <w:r>
        <w:fldChar w:fldCharType="separate"/>
      </w:r>
      <w:r>
        <w:rPr>
          <w:rFonts w:ascii="inter" w:eastAsia="inter" w:hAnsi="inter" w:cs="inter"/>
          <w:u w:val="single"/>
          <w:vertAlign w:val="superscript"/>
          <w:lang w:eastAsia="zh-TW"/>
        </w:rPr>
        <w:t>[11]</w:t>
      </w:r>
      <w:r>
        <w:fldChar w:fldCharType="end"/>
      </w:r>
    </w:p>
    <w:p w14:paraId="3AE634A6" w14:textId="77777777" w:rsidR="005216E3" w:rsidRDefault="00000000">
      <w:pPr>
        <w:spacing w:after="210" w:line="360" w:lineRule="auto"/>
      </w:pPr>
      <w:r>
        <w:rPr>
          <w:rFonts w:ascii="inter" w:eastAsia="inter" w:hAnsi="inter" w:cs="inter"/>
          <w:color w:val="000000"/>
          <w:lang w:eastAsia="zh-TW"/>
        </w:rPr>
        <w:t>結果顯示，合併 CBM588 組的中位無惡化存活期（PFS）為 12.7 個月，對照組僅 2.5 個月，風險比 HR = 0.15（95% CI 0.05–0.47, p=0.001），代表疾病進展風險下降約 85%。</w:t>
      </w:r>
      <w:bookmarkStart w:id="45" w:name="fnref11_2"/>
      <w:bookmarkEnd w:id="45"/>
      <w:r>
        <w:fldChar w:fldCharType="begin"/>
      </w:r>
      <w:r>
        <w:rPr>
          <w:lang w:eastAsia="zh-TW"/>
        </w:rPr>
        <w:instrText>HYPERLINK \l "fn11" \h</w:instrText>
      </w:r>
      <w:r>
        <w:fldChar w:fldCharType="separate"/>
      </w:r>
      <w:r>
        <w:rPr>
          <w:rFonts w:ascii="inter" w:eastAsia="inter" w:hAnsi="inter" w:cs="inter"/>
          <w:u w:val="single"/>
          <w:vertAlign w:val="superscript"/>
          <w:lang w:eastAsia="zh-TW"/>
        </w:rPr>
        <w:t>[11]</w:t>
      </w:r>
      <w:r>
        <w:fldChar w:fldCharType="end"/>
      </w:r>
      <w:r>
        <w:rPr>
          <w:rFonts w:ascii="inter" w:eastAsia="inter" w:hAnsi="inter" w:cs="inter"/>
          <w:color w:val="000000"/>
          <w:lang w:eastAsia="zh-TW"/>
        </w:rPr>
        <w:br/>
        <w:t>雖然客觀緩解率（ORR）在統計上僅呈現邊緣顯著，但合併組顯示出更持久的疾病控制，提示 CBM588 對免疫治療的「耐受維持」具有重要作用。</w:t>
      </w:r>
      <w:bookmarkStart w:id="46" w:name="fnref11_3"/>
      <w:bookmarkEnd w:id="46"/>
      <w:r>
        <w:fldChar w:fldCharType="begin"/>
      </w:r>
      <w:r>
        <w:rPr>
          <w:lang w:eastAsia="zh-TW"/>
        </w:rPr>
        <w:instrText>HYPERLINK \l "fn11" \h</w:instrText>
      </w:r>
      <w:r>
        <w:fldChar w:fldCharType="separate"/>
      </w:r>
      <w:r>
        <w:rPr>
          <w:rFonts w:ascii="inter" w:eastAsia="inter" w:hAnsi="inter" w:cs="inter"/>
          <w:u w:val="single"/>
          <w:vertAlign w:val="superscript"/>
        </w:rPr>
        <w:t>[11]</w:t>
      </w:r>
      <w:r>
        <w:fldChar w:fldCharType="end"/>
      </w:r>
    </w:p>
    <w:p w14:paraId="2C7E9A19" w14:textId="77777777" w:rsidR="005216E3" w:rsidRDefault="00000000">
      <w:pPr>
        <w:spacing w:after="210" w:line="360" w:lineRule="auto"/>
      </w:pPr>
      <w:r>
        <w:rPr>
          <w:rFonts w:ascii="inter" w:eastAsia="inter" w:hAnsi="inter" w:cs="inter"/>
          <w:color w:val="000000"/>
        </w:rPr>
        <w:t>腸道菌相分析顯示，使用 CBM588 的應答者其糞便中 Bifidobacterium 類群顯著增加，而與免疫治療抗性有關的 Desulfovibrio 類群則下降，暗示 CBM588 透過重塑菌相來增強 ICI 效果。</w:t>
      </w:r>
      <w:bookmarkStart w:id="47" w:name="fnref12"/>
      <w:bookmarkEnd w:id="47"/>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48" w:name="fnref11_4"/>
      <w:bookmarkEnd w:id="48"/>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0FEA8A1A" w14:textId="77777777" w:rsidR="005216E3" w:rsidRDefault="00000000">
      <w:pPr>
        <w:spacing w:before="315" w:after="105" w:line="360" w:lineRule="auto"/>
        <w:ind w:left="-30"/>
      </w:pPr>
      <w:bookmarkStart w:id="49" w:name="bm_4_1_2_cabozantinib_nivolumab_cbm588"/>
      <w:r>
        <w:rPr>
          <w:rFonts w:ascii="inter" w:eastAsia="inter" w:hAnsi="inter" w:cs="inter"/>
          <w:b/>
          <w:color w:val="000000"/>
          <w:sz w:val="24"/>
        </w:rPr>
        <w:t>4.1.2 Cabozantinib + Nivolumab ± CBM588</w:t>
      </w:r>
      <w:bookmarkEnd w:id="49"/>
    </w:p>
    <w:p w14:paraId="33C0B2D4" w14:textId="77777777" w:rsidR="005216E3" w:rsidRDefault="00000000">
      <w:pPr>
        <w:spacing w:after="210" w:line="360" w:lineRule="auto"/>
      </w:pPr>
      <w:r>
        <w:rPr>
          <w:rFonts w:ascii="inter" w:eastAsia="inter" w:hAnsi="inter" w:cs="inter"/>
          <w:color w:val="000000"/>
        </w:rPr>
        <w:t>第二項隨機試驗（Ebrahimi 等，2024）則在同樣的 mRCC 病人中，評估 cabozantinib + nivolumab（標準 TKI + ICI 組合）是否可因 CBM588 的加入而獲益。</w:t>
      </w:r>
      <w:bookmarkStart w:id="50" w:name="fnref13"/>
      <w:bookmarkEnd w:id="50"/>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51" w:name="fnref14"/>
      <w:bookmarkEnd w:id="51"/>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02994F61" w14:textId="77777777" w:rsidR="005216E3" w:rsidRDefault="00000000">
      <w:pPr>
        <w:spacing w:after="210" w:line="360" w:lineRule="auto"/>
      </w:pPr>
      <w:r>
        <w:rPr>
          <w:rFonts w:ascii="inter" w:eastAsia="inter" w:hAnsi="inter" w:cs="inter"/>
          <w:color w:val="000000"/>
        </w:rPr>
        <w:t>在 30 位受試者中，合併 CBM588 組的客觀緩解率為 74%，對照組為 20%，差異具統計意義（p≈0.01）。</w:t>
      </w:r>
      <w:bookmarkStart w:id="52" w:name="fnref14_1"/>
      <w:bookmarkEnd w:id="52"/>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53" w:name="fnref13_1"/>
      <w:bookmarkEnd w:id="53"/>
      <w:r>
        <w:fldChar w:fldCharType="begin"/>
      </w:r>
      <w:r>
        <w:instrText>HYPERLINK \l "fn13" \h</w:instrText>
      </w:r>
      <w:r>
        <w:fldChar w:fldCharType="separate"/>
      </w:r>
      <w:r>
        <w:rPr>
          <w:rFonts w:ascii="inter" w:eastAsia="inter" w:hAnsi="inter" w:cs="inter"/>
          <w:u w:val="single"/>
          <w:vertAlign w:val="superscript"/>
        </w:rPr>
        <w:t>[13]</w:t>
      </w:r>
      <w:r>
        <w:fldChar w:fldCharType="end"/>
      </w:r>
      <w:r>
        <w:rPr>
          <w:rFonts w:ascii="inter" w:eastAsia="inter" w:hAnsi="inter" w:cs="inter"/>
          <w:color w:val="000000"/>
        </w:rPr>
        <w:br/>
        <w:t>六個月無惡化存活率在 CBM588 組為 84%，對照組則為 60%，顯示合併 CBM588 不但提高腫瘤反應，也延長疾病控制時間。</w:t>
      </w:r>
      <w:bookmarkStart w:id="54" w:name="fnref14_2"/>
      <w:bookmarkEnd w:id="54"/>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4E86DFFB" w14:textId="77777777" w:rsidR="005216E3" w:rsidRDefault="00000000">
      <w:pPr>
        <w:spacing w:after="210" w:line="360" w:lineRule="auto"/>
      </w:pPr>
      <w:r>
        <w:rPr>
          <w:rFonts w:ascii="inter" w:eastAsia="inter" w:hAnsi="inter" w:cs="inter"/>
          <w:color w:val="000000"/>
        </w:rPr>
        <w:t>值得注意的是，兩組在 3 級以上治療相關不良事件（TRAEs）發生率上並無顯著差異（45% vs 40%），顯示在既有 ICI + TKI 的高毒性背景下，CBM588 並未帶來額外安全負擔。</w:t>
      </w:r>
      <w:bookmarkStart w:id="55" w:name="fnref14_3"/>
      <w:bookmarkEnd w:id="55"/>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74B6C51" w14:textId="77777777" w:rsidR="005216E3" w:rsidRDefault="00000000">
      <w:pPr>
        <w:spacing w:after="210" w:line="360" w:lineRule="auto"/>
      </w:pPr>
      <w:r>
        <w:rPr>
          <w:rFonts w:ascii="inter" w:eastAsia="inter" w:hAnsi="inter" w:cs="inter"/>
          <w:color w:val="000000"/>
        </w:rPr>
        <w:lastRenderedPageBreak/>
        <w:t>綜合兩項試驗與後續合併菌相分析，可以看出 CBM588 對 mRCC 一線 ICI 治療的增益在不同方案中具有一致性，並且伴隨 Firmicutes/Bacteroidetes 比值下降以及 Eubacterium siraeum 等有利菌種的保留，從菌相層面提供了機制上的支持。</w:t>
      </w:r>
      <w:bookmarkStart w:id="56" w:name="fnref12_1"/>
      <w:bookmarkEnd w:id="56"/>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3871886" w14:textId="77777777" w:rsidR="005216E3" w:rsidRDefault="00000000">
      <w:pPr>
        <w:spacing w:before="315" w:after="105" w:line="360" w:lineRule="auto"/>
        <w:ind w:left="-30"/>
      </w:pPr>
      <w:bookmarkStart w:id="57" w:name="bm_4_2_非小細胞肺癌_化學免疫治療中的生存獲益"/>
      <w:r>
        <w:rPr>
          <w:rFonts w:ascii="inter" w:eastAsia="inter" w:hAnsi="inter" w:cs="inter"/>
          <w:b/>
          <w:color w:val="000000"/>
          <w:sz w:val="24"/>
        </w:rPr>
        <w:t>4.2 非小細胞肺癌：化學免疫治療中的生存獲益</w:t>
      </w:r>
      <w:bookmarkEnd w:id="57"/>
    </w:p>
    <w:p w14:paraId="40C48FE4" w14:textId="77777777" w:rsidR="005216E3" w:rsidRDefault="00000000">
      <w:pPr>
        <w:spacing w:after="210" w:line="360" w:lineRule="auto"/>
      </w:pPr>
      <w:r>
        <w:rPr>
          <w:rFonts w:ascii="inter" w:eastAsia="inter" w:hAnsi="inter" w:cs="inter"/>
          <w:color w:val="000000"/>
        </w:rPr>
        <w:t>Tomita 等人在《Cancers》發表的回溯性研究，分析 106 位第四期或復發性 NSCLC 病人，皆接受含 ICI 的化學免疫治療，其中約 45% 同時使用 CBM588。</w:t>
      </w:r>
      <w:bookmarkStart w:id="58" w:name="fnref2_2"/>
      <w:bookmarkEnd w:id="58"/>
      <w:r>
        <w:fldChar w:fldCharType="begin"/>
      </w:r>
      <w:r>
        <w:instrText>HYPERLINK \l "fn2" \h</w:instrText>
      </w:r>
      <w:r>
        <w:fldChar w:fldCharType="separate"/>
      </w:r>
      <w:r>
        <w:rPr>
          <w:rFonts w:ascii="inter" w:eastAsia="inter" w:hAnsi="inter" w:cs="inter"/>
          <w:u w:val="single"/>
          <w:vertAlign w:val="superscript"/>
        </w:rPr>
        <w:t>[2]</w:t>
      </w:r>
      <w:r>
        <w:fldChar w:fldCharType="end"/>
      </w:r>
    </w:p>
    <w:p w14:paraId="4FD0F50B" w14:textId="77777777" w:rsidR="005216E3" w:rsidRDefault="00000000">
      <w:pPr>
        <w:spacing w:after="210" w:line="360" w:lineRule="auto"/>
      </w:pPr>
      <w:r>
        <w:rPr>
          <w:rFonts w:ascii="inter" w:eastAsia="inter" w:hAnsi="inter" w:cs="inter"/>
          <w:color w:val="000000"/>
        </w:rPr>
        <w:t>在多變量 Cox 模型與傾向分數加權分析後，CBM588 仍與顯著較佳的整體存活（OS）與 PFS 有關：整體人群中，OS 的調整後 HR 約為 0.41（p=0.004），PFS HR 約為 0.55（p≈0.01），顯示死亡風險和疾病進展風險皆被明顯降低。</w:t>
      </w:r>
      <w:bookmarkStart w:id="59" w:name="fnref2_3"/>
      <w:bookmarkEnd w:id="59"/>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E559152" w14:textId="77777777" w:rsidR="005216E3" w:rsidRDefault="00000000">
      <w:pPr>
        <w:spacing w:after="210" w:line="360" w:lineRule="auto"/>
      </w:pPr>
      <w:r>
        <w:rPr>
          <w:rFonts w:ascii="inter" w:eastAsia="inter" w:hAnsi="inter" w:cs="inter"/>
          <w:color w:val="000000"/>
        </w:rPr>
        <w:t>更具臨床意義的是，當病人依腫瘤 PD-L1 表現分層後，CBM588 的生存獲益呈現「PD-L1 越低，收益越大」的趨勢：PD-L1 &lt;1% 的族群中，CBM588 使 OS 的 HR 下降至 0.20（p=0.007），代表在原本對 ICI 最不敏感的一群病人中，CBM588 能顯著扭轉不良預後。</w:t>
      </w:r>
      <w:bookmarkStart w:id="60" w:name="fnref2_4"/>
      <w:bookmarkEnd w:id="60"/>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3B4C6F6" w14:textId="77777777" w:rsidR="005216E3" w:rsidRDefault="00000000">
      <w:pPr>
        <w:spacing w:after="210" w:line="360" w:lineRule="auto"/>
      </w:pPr>
      <w:r>
        <w:rPr>
          <w:rFonts w:ascii="inter" w:eastAsia="inter" w:hAnsi="inter" w:cs="inter"/>
          <w:color w:val="000000"/>
        </w:rPr>
        <w:t>在使用質子幫浦抑制劑（PPI）或抗生素的次族群中，CBM588 的效果更為明顯：合併 PPI 且無 CBM588 的病人 OS 僅約 11 個月，而合併 PPI 且補充 CBM588 的病人中位 OS 尚未到達，風險比約為 0.33；PPI + 抗生素雙重暴露的病人中，CBM588 將 OS 的 HR 壓低至 0.19。</w:t>
      </w:r>
      <w:bookmarkStart w:id="61" w:name="fnref2_5"/>
      <w:bookmarkEnd w:id="61"/>
      <w:r>
        <w:fldChar w:fldCharType="begin"/>
      </w:r>
      <w:r>
        <w:instrText>HYPERLINK \l "fn2" \h</w:instrText>
      </w:r>
      <w:r>
        <w:fldChar w:fldCharType="separate"/>
      </w:r>
      <w:r>
        <w:rPr>
          <w:rFonts w:ascii="inter" w:eastAsia="inter" w:hAnsi="inter" w:cs="inter"/>
          <w:u w:val="single"/>
          <w:vertAlign w:val="superscript"/>
        </w:rPr>
        <w:t>[2]</w:t>
      </w:r>
      <w:r>
        <w:fldChar w:fldCharType="end"/>
      </w:r>
      <w:r>
        <w:rPr>
          <w:rFonts w:ascii="inter" w:eastAsia="inter" w:hAnsi="inter" w:cs="inter"/>
          <w:color w:val="000000"/>
        </w:rPr>
        <w:br/>
        <w:t>這些結果清楚指出，CBM588 能在「藥物誘導嚴重腸道菌相失衡」的情境下，恢復 ICI 的療效，是其被視為次世代 LBP 最具代表性的臨床證據之一。</w:t>
      </w:r>
      <w:bookmarkStart w:id="62" w:name="fnref15"/>
      <w:bookmarkEnd w:id="62"/>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63" w:name="fnref2_6"/>
      <w:bookmarkEnd w:id="63"/>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941B2D8" w14:textId="77777777" w:rsidR="005216E3" w:rsidRDefault="00000000">
      <w:pPr>
        <w:spacing w:before="315" w:after="105" w:line="360" w:lineRule="auto"/>
        <w:ind w:left="-30"/>
      </w:pPr>
      <w:bookmarkStart w:id="64" w:name="bm_4_3_艱難梭狀芽孢桿菌感染_在抗生素治療中維持菌相與黏膜防禦"/>
      <w:r>
        <w:rPr>
          <w:rFonts w:ascii="inter" w:eastAsia="inter" w:hAnsi="inter" w:cs="inter"/>
          <w:b/>
          <w:color w:val="000000"/>
          <w:sz w:val="24"/>
        </w:rPr>
        <w:t>4.3 艱難梭狀芽孢桿菌感染：在抗生素治療中維持菌相與黏膜防禦</w:t>
      </w:r>
      <w:bookmarkEnd w:id="64"/>
    </w:p>
    <w:p w14:paraId="4876DC63" w14:textId="77777777" w:rsidR="005216E3" w:rsidRDefault="00000000">
      <w:pPr>
        <w:spacing w:after="210" w:line="360" w:lineRule="auto"/>
      </w:pPr>
      <w:r>
        <w:rPr>
          <w:rFonts w:ascii="inter" w:eastAsia="inter" w:hAnsi="inter" w:cs="inter"/>
          <w:color w:val="000000"/>
        </w:rPr>
        <w:t>在 Clostridioides difficile 感染（CDI）的動物模式中，聯合使用 CBM588 與 fidaxomicin 不僅顯著降低腸道中 C. difficile 的菌量，也改善由抗生素引起的腸道代謝失衡與發炎反應。</w:t>
      </w:r>
      <w:bookmarkStart w:id="65" w:name="fnref16"/>
      <w:bookmarkEnd w:id="65"/>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66" w:name="fnref3_4"/>
      <w:bookmarkEnd w:id="66"/>
      <w:r>
        <w:fldChar w:fldCharType="begin"/>
      </w:r>
      <w:r>
        <w:instrText>HYPERLINK \l "fn3" \h</w:instrText>
      </w:r>
      <w:r>
        <w:fldChar w:fldCharType="separate"/>
      </w:r>
      <w:r>
        <w:rPr>
          <w:rFonts w:ascii="inter" w:eastAsia="inter" w:hAnsi="inter" w:cs="inter"/>
          <w:u w:val="single"/>
          <w:vertAlign w:val="superscript"/>
        </w:rPr>
        <w:t>[3]</w:t>
      </w:r>
      <w:r>
        <w:fldChar w:fldCharType="end"/>
      </w:r>
    </w:p>
    <w:p w14:paraId="12F1AC97" w14:textId="77777777" w:rsidR="005216E3" w:rsidRDefault="00000000">
      <w:pPr>
        <w:spacing w:after="210" w:line="360" w:lineRule="auto"/>
      </w:pPr>
      <w:r>
        <w:rPr>
          <w:rFonts w:ascii="inter" w:eastAsia="inter" w:hAnsi="inter" w:cs="inter"/>
          <w:color w:val="000000"/>
        </w:rPr>
        <w:t>研究發現，單用 fidaxomicin 會造成腸道 succinate 濃度升高、乳酸桿菌比例下降以及整體菌相多樣性降低，而合併 CBM588 後，succinate 得以正常化，Lactobacillus/Lactococcus 回升，多樣性也部分恢復，顯示 CBM588 能在強效抗生素壓力下維持較健康的菌相結構。</w:t>
      </w:r>
      <w:bookmarkStart w:id="67" w:name="fnref3_5"/>
      <w:bookmarkEnd w:id="67"/>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C76E28A" w14:textId="77777777" w:rsidR="005216E3" w:rsidRDefault="00000000">
      <w:pPr>
        <w:spacing w:after="210" w:line="360" w:lineRule="auto"/>
      </w:pPr>
      <w:r>
        <w:rPr>
          <w:rFonts w:ascii="inter" w:eastAsia="inter" w:hAnsi="inter" w:cs="inter"/>
          <w:color w:val="000000"/>
        </w:rPr>
        <w:t>更重要的是，CBM588 使大腸黏膜中的 IL‑10 上升、TNF‑α 下降，並提升 IL‑17A 陽性 CD4 T 細胞與 IgA 產生；當以中和抗 IL‑17A 抗體阻斷此路徑時，CBM588 的保護作用便明顯減弱，顯示其抗 CDI 效應依賴於 IL‑17A 介導的黏膜免疫與 IgA 防禦。</w:t>
      </w:r>
      <w:bookmarkStart w:id="68" w:name="fnref16_1"/>
      <w:bookmarkEnd w:id="68"/>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69" w:name="fnref3_6"/>
      <w:bookmarkEnd w:id="69"/>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br/>
      </w:r>
      <w:r>
        <w:rPr>
          <w:rFonts w:ascii="inter" w:eastAsia="inter" w:hAnsi="inter" w:cs="inter"/>
          <w:color w:val="000000"/>
        </w:rPr>
        <w:lastRenderedPageBreak/>
        <w:t>同時，緊密連結蛋白（ZO‑1、claudins）與黏液蛋白 MUC‑2 表現提高，腸道通透性降低，代表 CBM588 在抗生素治療過程中兼具「重建菌相」與「修復上皮屏障」的雙重功能。</w:t>
      </w:r>
      <w:bookmarkStart w:id="70" w:name="fnref3_7"/>
      <w:bookmarkEnd w:id="70"/>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7DD9F20" w14:textId="77777777" w:rsidR="005216E3" w:rsidRDefault="00000000">
      <w:pPr>
        <w:spacing w:before="315" w:after="105" w:line="360" w:lineRule="auto"/>
        <w:ind w:left="-30"/>
      </w:pPr>
      <w:bookmarkStart w:id="71" w:name="bm_4_4_造血幹細胞移植與重大手術_風險極高環境下的菌相穩定器"/>
      <w:r>
        <w:rPr>
          <w:rFonts w:ascii="inter" w:eastAsia="inter" w:hAnsi="inter" w:cs="inter"/>
          <w:b/>
          <w:color w:val="000000"/>
          <w:sz w:val="24"/>
        </w:rPr>
        <w:t>4.4 造血幹細胞移植與重大手術：風險極高環境下的菌相穩定器</w:t>
      </w:r>
      <w:bookmarkEnd w:id="71"/>
    </w:p>
    <w:p w14:paraId="6C2E640A" w14:textId="77777777" w:rsidR="005216E3" w:rsidRDefault="00000000">
      <w:pPr>
        <w:spacing w:after="210" w:line="360" w:lineRule="auto"/>
      </w:pPr>
      <w:r>
        <w:rPr>
          <w:rFonts w:ascii="inter" w:eastAsia="inter" w:hAnsi="inter" w:cs="inter"/>
          <w:color w:val="000000"/>
        </w:rPr>
        <w:t>在造血幹細胞移植（HSCT）病人身上，Fukushima 等人的回溯性研究顯示，在 37 位移植病人中，接受 CBM588 的族群其腸道菌相 α 多樣性在移植後 21 日內維持相對穩定，而未接受 CBM588 者則出現快速且持續的多樣性下降。</w:t>
      </w:r>
      <w:bookmarkStart w:id="72" w:name="fnref17"/>
      <w:bookmarkEnd w:id="72"/>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73" w:name="fnref1_4"/>
      <w:bookmarkEnd w:id="73"/>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br/>
        <w:t>同時，與移植物抗宿主病相關的 Enterococcus 和 Bacteroides 在 CBM588 組的相對豐度較低，預示 CBM588 在這類高度免疫抑制且大量使用廣效抗生素的情境中，具有預防嚴重菌相崩壞的潛力。</w:t>
      </w:r>
      <w:bookmarkStart w:id="74" w:name="fnref17_1"/>
      <w:bookmarkEnd w:id="74"/>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75" w:name="fnref1_5"/>
      <w:bookmarkEnd w:id="7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AC0D688" w14:textId="77777777" w:rsidR="005216E3" w:rsidRDefault="00000000">
      <w:pPr>
        <w:spacing w:after="210" w:line="360" w:lineRule="auto"/>
      </w:pPr>
      <w:r>
        <w:rPr>
          <w:rFonts w:ascii="inter" w:eastAsia="inter" w:hAnsi="inter" w:cs="inter"/>
          <w:color w:val="000000"/>
        </w:rPr>
        <w:t>在大腸直腸癌根治手術的術前術後使用上，隨機試驗顯示，接受 CBM588 者的首次排氣與排便時間較短，術後感染併發症較少，外周 T 細胞比例較高，顯示其有助於加速腸道功能與免疫系統的恢復。</w:t>
      </w:r>
      <w:bookmarkStart w:id="76" w:name="fnref1_6"/>
      <w:bookmarkEnd w:id="7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2F305D5" w14:textId="77777777" w:rsidR="005216E3" w:rsidRDefault="006D6581">
      <w:pPr>
        <w:spacing w:before="210" w:after="0" w:line="360" w:lineRule="auto"/>
      </w:pPr>
      <w:r>
        <w:rPr>
          <w:noProof/>
        </w:rPr>
      </w:r>
      <w:r>
        <w:rPr>
          <w:noProof/>
        </w:rPr>
        <w:pict w14:anchorId="084C108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33A1D6" w14:textId="77777777" w:rsidR="005216E3" w:rsidRDefault="00000000">
      <w:pPr>
        <w:spacing w:before="315" w:after="105" w:line="360" w:lineRule="auto"/>
        <w:ind w:left="-30"/>
      </w:pPr>
      <w:bookmarkStart w:id="77" w:name="五_關鍵作用機制_從代謝_免疫到菌相生態的多重介入"/>
      <w:r>
        <w:rPr>
          <w:rFonts w:ascii="inter" w:eastAsia="inter" w:hAnsi="inter" w:cs="inter"/>
          <w:b/>
          <w:color w:val="000000"/>
          <w:sz w:val="24"/>
        </w:rPr>
        <w:t>五、關鍵作用機制：從代謝、免疫到菌相生態的多重介入</w:t>
      </w:r>
      <w:bookmarkEnd w:id="77"/>
    </w:p>
    <w:p w14:paraId="77D43FF8" w14:textId="77777777" w:rsidR="005216E3" w:rsidRDefault="00000000">
      <w:pPr>
        <w:spacing w:before="315" w:after="105" w:line="360" w:lineRule="auto"/>
        <w:ind w:left="-30"/>
      </w:pPr>
      <w:bookmarkStart w:id="78" w:name="bm_5_1_芽孢穩定性_在極端環境中存活並定植"/>
      <w:r>
        <w:rPr>
          <w:rFonts w:ascii="inter" w:eastAsia="inter" w:hAnsi="inter" w:cs="inter"/>
          <w:b/>
          <w:color w:val="000000"/>
          <w:sz w:val="24"/>
        </w:rPr>
        <w:t>5.1 芽孢穩定性：在極端環境中存活並定植</w:t>
      </w:r>
      <w:bookmarkEnd w:id="78"/>
    </w:p>
    <w:p w14:paraId="24A6F3E6" w14:textId="77777777" w:rsidR="005216E3" w:rsidRDefault="00000000">
      <w:pPr>
        <w:spacing w:after="210" w:line="360" w:lineRule="auto"/>
      </w:pPr>
      <w:r>
        <w:rPr>
          <w:rFonts w:ascii="inter" w:eastAsia="inter" w:hAnsi="inter" w:cs="inter"/>
          <w:color w:val="000000"/>
        </w:rPr>
        <w:t>CBM588 形成的芽孢能耐受胃酸與多種抗生素，當到達結腸後在適宜環境下再度萌發成營養型細胞，使其能在化療、放療、長期抗生素使用甚至造血幹細胞移植等極端情況下仍維持定植與代謝活性。</w:t>
      </w:r>
      <w:bookmarkStart w:id="79" w:name="fnref8_4"/>
      <w:bookmarkEnd w:id="79"/>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80" w:name="fnref1_7"/>
      <w:bookmarkEnd w:id="80"/>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br/>
        <w:t>相較之下，多數傳統益生菌為不具芽孢的乳酸桿菌或雙歧桿菌，在胃酸與膽鹽環境下存活率較低，且在抗生素壓力下容易被完全清除。</w:t>
      </w:r>
      <w:bookmarkStart w:id="81" w:name="fnref10_1"/>
      <w:bookmarkEnd w:id="81"/>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82" w:name="fnref8_5"/>
      <w:bookmarkEnd w:id="82"/>
      <w:r>
        <w:fldChar w:fldCharType="begin"/>
      </w:r>
      <w:r>
        <w:instrText>HYPERLINK \l "fn8" \h</w:instrText>
      </w:r>
      <w:r>
        <w:fldChar w:fldCharType="separate"/>
      </w:r>
      <w:r>
        <w:rPr>
          <w:rFonts w:ascii="inter" w:eastAsia="inter" w:hAnsi="inter" w:cs="inter"/>
          <w:u w:val="single"/>
          <w:vertAlign w:val="superscript"/>
        </w:rPr>
        <w:t>[8]</w:t>
      </w:r>
      <w:r>
        <w:fldChar w:fldCharType="end"/>
      </w:r>
    </w:p>
    <w:p w14:paraId="33E77A20" w14:textId="77777777" w:rsidR="005216E3" w:rsidRDefault="00000000">
      <w:pPr>
        <w:spacing w:before="315" w:after="105" w:line="360" w:lineRule="auto"/>
        <w:ind w:left="-30"/>
      </w:pPr>
      <w:bookmarkStart w:id="83" w:name="bm_5_2_丁酸與短鏈脂肪酸_提供上皮能量並抑制發炎"/>
      <w:r>
        <w:rPr>
          <w:rFonts w:ascii="inter" w:eastAsia="inter" w:hAnsi="inter" w:cs="inter"/>
          <w:b/>
          <w:color w:val="000000"/>
          <w:sz w:val="24"/>
        </w:rPr>
        <w:t>5.2 丁酸與短鏈脂肪酸：提供上皮能量並抑制發炎</w:t>
      </w:r>
      <w:bookmarkEnd w:id="83"/>
    </w:p>
    <w:p w14:paraId="5244E09C" w14:textId="77777777" w:rsidR="005216E3" w:rsidRDefault="00000000">
      <w:pPr>
        <w:spacing w:after="210" w:line="360" w:lineRule="auto"/>
      </w:pPr>
      <w:r>
        <w:rPr>
          <w:rFonts w:ascii="inter" w:eastAsia="inter" w:hAnsi="inter" w:cs="inter"/>
          <w:color w:val="000000"/>
        </w:rPr>
        <w:t>CBM588 是高度丁酸產生菌，所生成的丁酸是結腸上皮細胞主要能量來源，也是重要的表觀遺傳調節分子，能透過抑制 histone deacetylase 促進緊密連結蛋白表達、增加黏液分泌並降低腸道通透性。</w:t>
      </w:r>
      <w:bookmarkStart w:id="84" w:name="fnref16_2"/>
      <w:bookmarkEnd w:id="84"/>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85" w:name="fnref3_8"/>
      <w:bookmarkEnd w:id="85"/>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br/>
        <w:t>同時，丁酸與其他短鏈脂肪酸可活化 GPR43/GPR109A 等受體，誘導免疫細胞分泌 IL‑10 等抗發炎細胞激素，維持腸道免疫耐受，預防慢性發炎與黏膜破壞。</w:t>
      </w:r>
      <w:bookmarkStart w:id="86" w:name="fnref8_6"/>
      <w:bookmarkEnd w:id="86"/>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87" w:name="fnref16_3"/>
      <w:bookmarkEnd w:id="87"/>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3769A959" w14:textId="77777777" w:rsidR="005216E3" w:rsidRDefault="00000000">
      <w:pPr>
        <w:spacing w:before="315" w:after="105" w:line="360" w:lineRule="auto"/>
        <w:ind w:left="-30"/>
      </w:pPr>
      <w:bookmarkStart w:id="88" w:name="bm_5_3_il_10_ido_1_色氨酸代謝軸_將調節型_t_細胞留在腸道"/>
      <w:r>
        <w:rPr>
          <w:rFonts w:ascii="inter" w:eastAsia="inter" w:hAnsi="inter" w:cs="inter"/>
          <w:b/>
          <w:color w:val="000000"/>
          <w:sz w:val="24"/>
        </w:rPr>
        <w:t>5.3 IL‑10 / IDO‑1 / 色氨酸代謝軸：將調節型 T 細胞留在腸道</w:t>
      </w:r>
      <w:bookmarkEnd w:id="88"/>
    </w:p>
    <w:p w14:paraId="6B928BA7" w14:textId="77777777" w:rsidR="005216E3" w:rsidRDefault="00000000">
      <w:pPr>
        <w:spacing w:after="210" w:line="360" w:lineRule="auto"/>
      </w:pPr>
      <w:r>
        <w:rPr>
          <w:rFonts w:ascii="inter" w:eastAsia="inter" w:hAnsi="inter" w:cs="inter"/>
          <w:color w:val="000000"/>
        </w:rPr>
        <w:t>Del Socorro 等人針對 CBM588 與 PD‑1 阻斷聯合作用的機轉進行深入研究，發現 CBM588 能誘導腸道固有免疫細胞（尤其是黏膜下單核細胞與樹突細胞）大量分泌 IL‑10，並進一步上調 IDO‑1，使色氨酸代謝</w:t>
      </w:r>
      <w:r>
        <w:rPr>
          <w:rFonts w:ascii="inter" w:eastAsia="inter" w:hAnsi="inter" w:cs="inter"/>
          <w:color w:val="000000"/>
        </w:rPr>
        <w:lastRenderedPageBreak/>
        <w:t>導向犬尿醇路徑。</w:t>
      </w:r>
      <w:bookmarkStart w:id="89" w:name="fnref18"/>
      <w:bookmarkEnd w:id="89"/>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90" w:name="fnref19"/>
      <w:bookmarkEnd w:id="90"/>
      <w:r>
        <w:fldChar w:fldCharType="begin"/>
      </w:r>
      <w:r>
        <w:instrText>HYPERLINK \l "fn19" \h</w:instrText>
      </w:r>
      <w:r>
        <w:fldChar w:fldCharType="separate"/>
      </w:r>
      <w:r>
        <w:rPr>
          <w:rFonts w:ascii="inter" w:eastAsia="inter" w:hAnsi="inter" w:cs="inter"/>
          <w:u w:val="single"/>
          <w:vertAlign w:val="superscript"/>
        </w:rPr>
        <w:t>[19]</w:t>
      </w:r>
      <w:r>
        <w:fldChar w:fldCharType="end"/>
      </w:r>
      <w:r>
        <w:rPr>
          <w:rFonts w:ascii="inter" w:eastAsia="inter" w:hAnsi="inter" w:cs="inter"/>
          <w:color w:val="000000"/>
        </w:rPr>
        <w:br/>
        <w:t>犬尿醇及其代謝物透過活化 AhR 受體促進 Rorγt+ 調節型 T 細胞在腸道內增殖並「滯留」，同時降低這一群具有免疫抑制功能的 Treg 往腫瘤引流淋巴結的遷移。</w:t>
      </w:r>
      <w:bookmarkStart w:id="91" w:name="fnref19_1"/>
      <w:bookmarkEnd w:id="91"/>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92" w:name="fnref18_1"/>
      <w:bookmarkEnd w:id="92"/>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70047B14" w14:textId="77777777" w:rsidR="005216E3" w:rsidRDefault="00000000">
      <w:pPr>
        <w:spacing w:after="210" w:line="360" w:lineRule="auto"/>
      </w:pPr>
      <w:r>
        <w:rPr>
          <w:rFonts w:ascii="inter" w:eastAsia="inter" w:hAnsi="inter" w:cs="inter"/>
          <w:color w:val="000000"/>
        </w:rPr>
        <w:t>結果是：腸道內的免疫環境仍維持耐受與低發炎狀態（有利於黏膜修復），但腫瘤微環境中的免疫抑制壓力卻被解除，使得 CTL 與 Th1 反應能更有效被 PD‑1 阻斷治療所動員，形成「局部抑制、系統增強」的獨特免疫調節模式。</w:t>
      </w:r>
      <w:bookmarkStart w:id="93" w:name="fnref18_2"/>
      <w:bookmarkEnd w:id="93"/>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94" w:name="fnref19_2"/>
      <w:bookmarkEnd w:id="94"/>
      <w:r>
        <w:fldChar w:fldCharType="begin"/>
      </w:r>
      <w:r>
        <w:instrText>HYPERLINK \l "fn19" \h</w:instrText>
      </w:r>
      <w:r>
        <w:fldChar w:fldCharType="separate"/>
      </w:r>
      <w:r>
        <w:rPr>
          <w:rFonts w:ascii="inter" w:eastAsia="inter" w:hAnsi="inter" w:cs="inter"/>
          <w:u w:val="single"/>
          <w:vertAlign w:val="superscript"/>
        </w:rPr>
        <w:t>[19]</w:t>
      </w:r>
      <w:r>
        <w:fldChar w:fldCharType="end"/>
      </w:r>
      <w:r>
        <w:rPr>
          <w:rFonts w:ascii="inter" w:eastAsia="inter" w:hAnsi="inter" w:cs="inter"/>
          <w:color w:val="000000"/>
        </w:rPr>
        <w:br/>
        <w:t>這種機轉亦解釋了為何在 NSCLC 與 mRCC 臨床試驗中，CBM588 對 ICI 療效的增強特別明顯，尤其是在原本被視為 ICI 反應不佳的 PD‑L1 低表現或菌相嚴重失衡病人身上。</w:t>
      </w:r>
      <w:bookmarkStart w:id="95" w:name="fnref11_5"/>
      <w:bookmarkEnd w:id="95"/>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96" w:name="fnref2_7"/>
      <w:bookmarkEnd w:id="96"/>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6F2A061" w14:textId="77777777" w:rsidR="005216E3" w:rsidRDefault="00000000">
      <w:pPr>
        <w:spacing w:before="315" w:after="105" w:line="360" w:lineRule="auto"/>
        <w:ind w:left="-30"/>
      </w:pPr>
      <w:bookmarkStart w:id="97" w:name="bm_5_4_菌相重塑_抑制病原性菌群_扶植有益菌"/>
      <w:r>
        <w:rPr>
          <w:rFonts w:ascii="inter" w:eastAsia="inter" w:hAnsi="inter" w:cs="inter"/>
          <w:b/>
          <w:color w:val="000000"/>
          <w:sz w:val="24"/>
        </w:rPr>
        <w:t>5.4 菌相重塑：抑制病原性菌群、扶植有益菌</w:t>
      </w:r>
      <w:bookmarkEnd w:id="97"/>
    </w:p>
    <w:p w14:paraId="54FF9BA7" w14:textId="77777777" w:rsidR="005216E3" w:rsidRDefault="00000000">
      <w:pPr>
        <w:spacing w:after="210" w:line="360" w:lineRule="auto"/>
      </w:pPr>
      <w:r>
        <w:rPr>
          <w:rFonts w:ascii="inter" w:eastAsia="inter" w:hAnsi="inter" w:cs="inter"/>
          <w:color w:val="000000"/>
        </w:rPr>
        <w:t>多篇臨床與動物研究指出，CBM588 對菌相組成具有選擇性影響：</w:t>
      </w:r>
      <w:r>
        <w:rPr>
          <w:rFonts w:ascii="inter" w:eastAsia="inter" w:hAnsi="inter" w:cs="inter"/>
          <w:color w:val="000000"/>
        </w:rPr>
        <w:br/>
        <w:t>一方面降低 Desulfovibrio、Pseudomonas、Rikenellaceae 等與慢性發炎與 ICI 抗性相關的菌群；另一方面則促進 Akkermansia、Bifidobacterium、Lactobacillus 以及 Ruminococcaceae 等與良好免疫反應與代謝健康有關的菌種增加。</w:t>
      </w:r>
      <w:bookmarkStart w:id="98" w:name="fnref12_2"/>
      <w:bookmarkEnd w:id="98"/>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99" w:name="fnref1_8"/>
      <w:bookmarkEnd w:id="9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00" w:name="fnref3_9"/>
      <w:bookmarkEnd w:id="100"/>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br/>
        <w:t>在 mRCC 合併分析中，使用 CBM588 的病人其 Firmicutes/Bacteroidetes 比值由 100% 下降至 75.7%，而對照組則由 89% 上升到 96.4%，再度顯示 CBM588 能逆轉 ICI 治療所造成的失衡趨勢。</w:t>
      </w:r>
      <w:bookmarkStart w:id="101" w:name="fnref12_3"/>
      <w:bookmarkEnd w:id="101"/>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6D033D97" w14:textId="77777777" w:rsidR="005216E3" w:rsidRDefault="006D6581">
      <w:pPr>
        <w:spacing w:before="210" w:after="0" w:line="360" w:lineRule="auto"/>
      </w:pPr>
      <w:r>
        <w:rPr>
          <w:noProof/>
        </w:rPr>
      </w:r>
      <w:r>
        <w:rPr>
          <w:noProof/>
        </w:rPr>
        <w:pict w14:anchorId="5D11B91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5EC796" w14:textId="77777777" w:rsidR="005216E3" w:rsidRDefault="00000000">
      <w:pPr>
        <w:spacing w:before="315" w:after="105" w:line="360" w:lineRule="auto"/>
        <w:ind w:left="-30"/>
      </w:pPr>
      <w:bookmarkStart w:id="102" w:name="六_安全性與耐受性_在高風險病人中的真實表現"/>
      <w:r>
        <w:rPr>
          <w:rFonts w:ascii="inter" w:eastAsia="inter" w:hAnsi="inter" w:cs="inter"/>
          <w:b/>
          <w:color w:val="000000"/>
          <w:sz w:val="24"/>
        </w:rPr>
        <w:t>六、安全性與耐受性：在高風險病人中的真實表現</w:t>
      </w:r>
      <w:bookmarkEnd w:id="102"/>
    </w:p>
    <w:p w14:paraId="3F1B9764" w14:textId="77777777" w:rsidR="005216E3" w:rsidRDefault="00000000">
      <w:pPr>
        <w:spacing w:after="210" w:line="360" w:lineRule="auto"/>
      </w:pPr>
      <w:r>
        <w:rPr>
          <w:rFonts w:ascii="inter" w:eastAsia="inter" w:hAnsi="inter" w:cs="inter"/>
          <w:color w:val="000000"/>
        </w:rPr>
        <w:t>在兩項 mRCC 隨機試驗及 NSCLC 回溯性隊列中，CBM588 並未使 3 級以上不良反應的發生率上升，最常見的不良反應仍為原有 ICI 或 TKI 所造成的肝功能異常、高血壓及腹瀉。</w:t>
      </w:r>
      <w:bookmarkStart w:id="103" w:name="fnref14_4"/>
      <w:bookmarkEnd w:id="103"/>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04" w:name="fnref2_8"/>
      <w:bookmarkEnd w:id="10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05" w:name="fnref11_6"/>
      <w:bookmarkEnd w:id="105"/>
      <w:r>
        <w:fldChar w:fldCharType="begin"/>
      </w:r>
      <w:r>
        <w:instrText>HYPERLINK \l "fn11" \h</w:instrText>
      </w:r>
      <w:r>
        <w:fldChar w:fldCharType="separate"/>
      </w:r>
      <w:r>
        <w:rPr>
          <w:rFonts w:ascii="inter" w:eastAsia="inter" w:hAnsi="inter" w:cs="inter"/>
          <w:u w:val="single"/>
          <w:vertAlign w:val="superscript"/>
        </w:rPr>
        <w:t>[11]</w:t>
      </w:r>
      <w:r>
        <w:fldChar w:fldCharType="end"/>
      </w:r>
      <w:r>
        <w:rPr>
          <w:rFonts w:ascii="inter" w:eastAsia="inter" w:hAnsi="inter" w:cs="inter"/>
          <w:color w:val="000000"/>
        </w:rPr>
        <w:br/>
        <w:t>沒有病人因 CBM588 而被迫停藥，顯示其作為輔助治療在高強度癌症療程中是相當安全的。</w:t>
      </w:r>
      <w:bookmarkStart w:id="106" w:name="fnref14_5"/>
      <w:bookmarkEnd w:id="106"/>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07" w:name="fnref11_7"/>
      <w:bookmarkEnd w:id="107"/>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208B9F43" w14:textId="77777777" w:rsidR="005216E3" w:rsidRDefault="00000000">
      <w:pPr>
        <w:spacing w:after="210" w:line="360" w:lineRule="auto"/>
      </w:pPr>
      <w:r>
        <w:rPr>
          <w:rFonts w:ascii="inter" w:eastAsia="inter" w:hAnsi="inter" w:cs="inter"/>
          <w:color w:val="000000"/>
        </w:rPr>
        <w:t>在 HSCT 與大腸直腸癌手術等情境下，病人處於重度免疫抑制、接受多重抗生素與外科壓力，CBM588 依然未出現菌血症或嚴重感染等安全訊號，反而與較佳的腸道功能與預後指標相關，使其安全性輪廓更具說服力。</w:t>
      </w:r>
      <w:bookmarkStart w:id="108" w:name="fnref17_2"/>
      <w:bookmarkEnd w:id="108"/>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09" w:name="fnref1_9"/>
      <w:bookmarkEnd w:id="109"/>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br/>
        <w:t>加上日本長期使用 MIYA‑BM 所累積的大量藥害監測資料，CBM588 至今仍被視為在人類與動物使用皆極為安全的菌株之一。</w:t>
      </w:r>
      <w:bookmarkStart w:id="110" w:name="fnref1_10"/>
      <w:bookmarkEnd w:id="11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11" w:name="fnref8_7"/>
      <w:bookmarkEnd w:id="111"/>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7698F34" w14:textId="77777777" w:rsidR="005216E3" w:rsidRDefault="006D6581">
      <w:pPr>
        <w:spacing w:before="210" w:after="0" w:line="360" w:lineRule="auto"/>
      </w:pPr>
      <w:r>
        <w:rPr>
          <w:noProof/>
        </w:rPr>
      </w:r>
      <w:r>
        <w:rPr>
          <w:noProof/>
        </w:rPr>
        <w:pict w14:anchorId="65437CE9">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7A78AC5" w14:textId="77777777" w:rsidR="005216E3" w:rsidRDefault="00000000">
      <w:pPr>
        <w:spacing w:before="315" w:after="105" w:line="360" w:lineRule="auto"/>
        <w:ind w:left="-30"/>
      </w:pPr>
      <w:bookmarkStart w:id="112" w:name="七_與傳統益生菌及其他_lbp_的比較"/>
      <w:r>
        <w:rPr>
          <w:rFonts w:ascii="inter" w:eastAsia="inter" w:hAnsi="inter" w:cs="inter"/>
          <w:b/>
          <w:color w:val="000000"/>
          <w:sz w:val="24"/>
        </w:rPr>
        <w:t>七、與傳統益生菌及其他 LBP 的比較</w:t>
      </w:r>
      <w:bookmarkEnd w:id="112"/>
    </w:p>
    <w:p w14:paraId="118368FB" w14:textId="77777777" w:rsidR="005216E3" w:rsidRDefault="00000000">
      <w:pPr>
        <w:spacing w:after="210" w:line="360" w:lineRule="auto"/>
      </w:pPr>
      <w:r>
        <w:rPr>
          <w:rFonts w:ascii="inter" w:eastAsia="inter" w:hAnsi="inter" w:cs="inter"/>
          <w:color w:val="000000"/>
        </w:rPr>
        <w:lastRenderedPageBreak/>
        <w:t>若從「定位」、「證據」與「應用場景」三個層面比較，CBM588 的特色可整理如下：</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12"/>
        <w:gridCol w:w="3363"/>
        <w:gridCol w:w="2465"/>
        <w:gridCol w:w="2764"/>
      </w:tblGrid>
      <w:tr w:rsidR="005216E3" w14:paraId="3FE058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5F2E9C" w14:textId="77777777" w:rsidR="005216E3" w:rsidRDefault="00000000">
            <w:pPr>
              <w:spacing w:line="360" w:lineRule="auto"/>
            </w:pPr>
            <w:r>
              <w:rPr>
                <w:rFonts w:ascii="inter" w:eastAsia="inter" w:hAnsi="inter" w:cs="inter"/>
                <w:color w:val="000000"/>
                <w:sz w:val="17"/>
              </w:rPr>
              <w:t>項目</w:t>
            </w:r>
          </w:p>
        </w:tc>
        <w:tc>
          <w:tcPr>
            <w:tcW w:w="0" w:type="auto"/>
            <w:tcBorders>
              <w:top w:val="single" w:sz="1" w:space="0" w:color="000000"/>
              <w:bottom w:val="single" w:sz="1" w:space="0" w:color="000000"/>
              <w:right w:val="single" w:sz="1" w:space="0" w:color="000000"/>
            </w:tcBorders>
          </w:tcPr>
          <w:p w14:paraId="538C172C" w14:textId="77777777" w:rsidR="005216E3" w:rsidRDefault="00000000">
            <w:pPr>
              <w:spacing w:line="360" w:lineRule="auto"/>
            </w:pPr>
            <w:r>
              <w:rPr>
                <w:rFonts w:ascii="inter" w:eastAsia="inter" w:hAnsi="inter" w:cs="inter"/>
                <w:color w:val="000000"/>
                <w:sz w:val="17"/>
              </w:rPr>
              <w:t>CBM588（次世代 LBP）</w:t>
            </w:r>
          </w:p>
        </w:tc>
        <w:tc>
          <w:tcPr>
            <w:tcW w:w="0" w:type="auto"/>
            <w:tcBorders>
              <w:top w:val="single" w:sz="1" w:space="0" w:color="000000"/>
              <w:bottom w:val="single" w:sz="1" w:space="0" w:color="000000"/>
              <w:right w:val="single" w:sz="1" w:space="0" w:color="000000"/>
            </w:tcBorders>
          </w:tcPr>
          <w:p w14:paraId="4061E09B" w14:textId="77777777" w:rsidR="005216E3" w:rsidRDefault="00000000">
            <w:pPr>
              <w:spacing w:line="360" w:lineRule="auto"/>
            </w:pPr>
            <w:r>
              <w:rPr>
                <w:rFonts w:ascii="inter" w:eastAsia="inter" w:hAnsi="inter" w:cs="inter"/>
                <w:color w:val="000000"/>
                <w:sz w:val="17"/>
              </w:rPr>
              <w:t>傳統益生菌（保健食品）</w:t>
            </w:r>
          </w:p>
        </w:tc>
        <w:tc>
          <w:tcPr>
            <w:tcW w:w="0" w:type="auto"/>
            <w:tcBorders>
              <w:top w:val="single" w:sz="1" w:space="0" w:color="000000"/>
              <w:bottom w:val="single" w:sz="1" w:space="0" w:color="000000"/>
            </w:tcBorders>
          </w:tcPr>
          <w:p w14:paraId="05F26A30" w14:textId="77777777" w:rsidR="005216E3" w:rsidRDefault="00000000">
            <w:pPr>
              <w:spacing w:line="360" w:lineRule="auto"/>
            </w:pPr>
            <w:r>
              <w:rPr>
                <w:rFonts w:ascii="inter" w:eastAsia="inter" w:hAnsi="inter" w:cs="inter"/>
                <w:color w:val="000000"/>
                <w:sz w:val="17"/>
              </w:rPr>
              <w:t>其他已核准 LBP（Rebyota/Vowst）</w:t>
            </w:r>
          </w:p>
        </w:tc>
      </w:tr>
      <w:tr w:rsidR="005216E3" w14:paraId="6CD56B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B6C941" w14:textId="77777777" w:rsidR="005216E3" w:rsidRDefault="00000000">
            <w:pPr>
              <w:spacing w:line="360" w:lineRule="auto"/>
            </w:pPr>
            <w:r>
              <w:rPr>
                <w:rFonts w:ascii="inter" w:eastAsia="inter" w:hAnsi="inter" w:cs="inter"/>
                <w:color w:val="000000"/>
                <w:sz w:val="17"/>
              </w:rPr>
              <w:t>法規分類</w:t>
            </w:r>
          </w:p>
        </w:tc>
        <w:tc>
          <w:tcPr>
            <w:tcW w:w="0" w:type="auto"/>
            <w:tcBorders>
              <w:top w:val="single" w:sz="1" w:space="0" w:color="000000"/>
              <w:bottom w:val="single" w:sz="1" w:space="0" w:color="000000"/>
              <w:right w:val="single" w:sz="1" w:space="0" w:color="000000"/>
            </w:tcBorders>
          </w:tcPr>
          <w:p w14:paraId="2B538560" w14:textId="77777777" w:rsidR="005216E3" w:rsidRDefault="00000000">
            <w:pPr>
              <w:spacing w:line="360" w:lineRule="auto"/>
            </w:pPr>
            <w:r>
              <w:rPr>
                <w:rFonts w:ascii="inter" w:eastAsia="inter" w:hAnsi="inter" w:cs="inter"/>
                <w:color w:val="000000"/>
                <w:sz w:val="17"/>
              </w:rPr>
              <w:t>生物藥品，須走 IND / NDA</w:t>
            </w:r>
          </w:p>
        </w:tc>
        <w:tc>
          <w:tcPr>
            <w:tcW w:w="0" w:type="auto"/>
            <w:tcBorders>
              <w:top w:val="single" w:sz="1" w:space="0" w:color="000000"/>
              <w:bottom w:val="single" w:sz="1" w:space="0" w:color="000000"/>
              <w:right w:val="single" w:sz="1" w:space="0" w:color="000000"/>
            </w:tcBorders>
          </w:tcPr>
          <w:p w14:paraId="3E3087A5" w14:textId="77777777" w:rsidR="005216E3" w:rsidRDefault="00000000">
            <w:pPr>
              <w:spacing w:line="360" w:lineRule="auto"/>
            </w:pPr>
            <w:r>
              <w:rPr>
                <w:rFonts w:ascii="inter" w:eastAsia="inter" w:hAnsi="inter" w:cs="inter"/>
                <w:color w:val="000000"/>
                <w:sz w:val="17"/>
              </w:rPr>
              <w:t>食品或膳食補充品</w:t>
            </w:r>
          </w:p>
        </w:tc>
        <w:tc>
          <w:tcPr>
            <w:tcW w:w="0" w:type="auto"/>
            <w:tcBorders>
              <w:top w:val="single" w:sz="1" w:space="0" w:color="000000"/>
              <w:bottom w:val="single" w:sz="1" w:space="0" w:color="000000"/>
            </w:tcBorders>
          </w:tcPr>
          <w:p w14:paraId="66D0A1A0" w14:textId="77777777" w:rsidR="005216E3" w:rsidRDefault="00000000">
            <w:pPr>
              <w:spacing w:line="360" w:lineRule="auto"/>
            </w:pPr>
            <w:r>
              <w:rPr>
                <w:rFonts w:ascii="inter" w:eastAsia="inter" w:hAnsi="inter" w:cs="inter"/>
                <w:color w:val="000000"/>
                <w:sz w:val="17"/>
              </w:rPr>
              <w:t>生物藥品，已取 FDA 核准</w:t>
            </w:r>
          </w:p>
        </w:tc>
      </w:tr>
      <w:tr w:rsidR="005216E3" w14:paraId="5D7DDF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8697C0" w14:textId="77777777" w:rsidR="005216E3" w:rsidRDefault="00000000">
            <w:pPr>
              <w:spacing w:line="360" w:lineRule="auto"/>
            </w:pPr>
            <w:r>
              <w:rPr>
                <w:rFonts w:ascii="inter" w:eastAsia="inter" w:hAnsi="inter" w:cs="inter"/>
                <w:color w:val="000000"/>
                <w:sz w:val="17"/>
              </w:rPr>
              <w:t>菌株組成</w:t>
            </w:r>
          </w:p>
        </w:tc>
        <w:tc>
          <w:tcPr>
            <w:tcW w:w="0" w:type="auto"/>
            <w:tcBorders>
              <w:top w:val="single" w:sz="1" w:space="0" w:color="000000"/>
              <w:bottom w:val="single" w:sz="1" w:space="0" w:color="000000"/>
              <w:right w:val="single" w:sz="1" w:space="0" w:color="000000"/>
            </w:tcBorders>
          </w:tcPr>
          <w:p w14:paraId="10787D4A" w14:textId="77777777" w:rsidR="005216E3" w:rsidRDefault="00000000">
            <w:pPr>
              <w:spacing w:line="360" w:lineRule="auto"/>
            </w:pPr>
            <w:r>
              <w:rPr>
                <w:rFonts w:ascii="inter" w:eastAsia="inter" w:hAnsi="inter" w:cs="inter"/>
                <w:color w:val="000000"/>
                <w:sz w:val="17"/>
              </w:rPr>
              <w:t>單一、基因定序且無毒素的芽孢菌</w:t>
            </w:r>
          </w:p>
        </w:tc>
        <w:tc>
          <w:tcPr>
            <w:tcW w:w="0" w:type="auto"/>
            <w:tcBorders>
              <w:top w:val="single" w:sz="1" w:space="0" w:color="000000"/>
              <w:bottom w:val="single" w:sz="1" w:space="0" w:color="000000"/>
              <w:right w:val="single" w:sz="1" w:space="0" w:color="000000"/>
            </w:tcBorders>
          </w:tcPr>
          <w:p w14:paraId="796B3FDE" w14:textId="77777777" w:rsidR="005216E3" w:rsidRDefault="00000000">
            <w:pPr>
              <w:spacing w:line="360" w:lineRule="auto"/>
            </w:pPr>
            <w:r>
              <w:rPr>
                <w:rFonts w:ascii="inter" w:eastAsia="inter" w:hAnsi="inter" w:cs="inter"/>
                <w:color w:val="000000"/>
                <w:sz w:val="17"/>
              </w:rPr>
              <w:t>多為多菌株，部分菌株來源不透明</w:t>
            </w:r>
          </w:p>
        </w:tc>
        <w:tc>
          <w:tcPr>
            <w:tcW w:w="0" w:type="auto"/>
            <w:tcBorders>
              <w:top w:val="single" w:sz="1" w:space="0" w:color="000000"/>
              <w:bottom w:val="single" w:sz="1" w:space="0" w:color="000000"/>
            </w:tcBorders>
          </w:tcPr>
          <w:p w14:paraId="227E2C80" w14:textId="77777777" w:rsidR="005216E3" w:rsidRDefault="00000000">
            <w:pPr>
              <w:spacing w:line="360" w:lineRule="auto"/>
            </w:pPr>
            <w:r>
              <w:rPr>
                <w:rFonts w:ascii="inter" w:eastAsia="inter" w:hAnsi="inter" w:cs="inter"/>
                <w:color w:val="000000"/>
                <w:sz w:val="17"/>
              </w:rPr>
              <w:t>多菌株糞菌或孢子混合</w:t>
            </w:r>
          </w:p>
        </w:tc>
      </w:tr>
      <w:tr w:rsidR="005216E3" w14:paraId="0E34D9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044E21" w14:textId="77777777" w:rsidR="005216E3" w:rsidRDefault="00000000">
            <w:pPr>
              <w:spacing w:line="360" w:lineRule="auto"/>
            </w:pPr>
            <w:r>
              <w:rPr>
                <w:rFonts w:ascii="inter" w:eastAsia="inter" w:hAnsi="inter" w:cs="inter"/>
                <w:color w:val="000000"/>
                <w:sz w:val="17"/>
              </w:rPr>
              <w:t>目的</w:t>
            </w:r>
          </w:p>
        </w:tc>
        <w:tc>
          <w:tcPr>
            <w:tcW w:w="0" w:type="auto"/>
            <w:tcBorders>
              <w:top w:val="single" w:sz="1" w:space="0" w:color="000000"/>
              <w:bottom w:val="single" w:sz="1" w:space="0" w:color="000000"/>
              <w:right w:val="single" w:sz="1" w:space="0" w:color="000000"/>
            </w:tcBorders>
          </w:tcPr>
          <w:p w14:paraId="5D362952" w14:textId="77777777" w:rsidR="005216E3" w:rsidRDefault="00000000">
            <w:pPr>
              <w:spacing w:line="360" w:lineRule="auto"/>
            </w:pPr>
            <w:r>
              <w:rPr>
                <w:rFonts w:ascii="inter" w:eastAsia="inter" w:hAnsi="inter" w:cs="inter"/>
                <w:color w:val="000000"/>
                <w:sz w:val="17"/>
              </w:rPr>
              <w:t>治療「菌相失衡相關疾病」</w:t>
            </w:r>
          </w:p>
        </w:tc>
        <w:tc>
          <w:tcPr>
            <w:tcW w:w="0" w:type="auto"/>
            <w:tcBorders>
              <w:top w:val="single" w:sz="1" w:space="0" w:color="000000"/>
              <w:bottom w:val="single" w:sz="1" w:space="0" w:color="000000"/>
              <w:right w:val="single" w:sz="1" w:space="0" w:color="000000"/>
            </w:tcBorders>
          </w:tcPr>
          <w:p w14:paraId="01DC06C2" w14:textId="77777777" w:rsidR="005216E3" w:rsidRDefault="00000000">
            <w:pPr>
              <w:spacing w:line="360" w:lineRule="auto"/>
            </w:pPr>
            <w:r>
              <w:rPr>
                <w:rFonts w:ascii="inter" w:eastAsia="inter" w:hAnsi="inter" w:cs="inter"/>
                <w:color w:val="000000"/>
                <w:sz w:val="17"/>
              </w:rPr>
              <w:t>一般腸胃保健、症狀改善</w:t>
            </w:r>
          </w:p>
        </w:tc>
        <w:tc>
          <w:tcPr>
            <w:tcW w:w="0" w:type="auto"/>
            <w:tcBorders>
              <w:top w:val="single" w:sz="1" w:space="0" w:color="000000"/>
              <w:bottom w:val="single" w:sz="1" w:space="0" w:color="000000"/>
            </w:tcBorders>
          </w:tcPr>
          <w:p w14:paraId="70FBFD64" w14:textId="77777777" w:rsidR="005216E3" w:rsidRDefault="00000000">
            <w:pPr>
              <w:spacing w:line="360" w:lineRule="auto"/>
            </w:pPr>
            <w:r>
              <w:rPr>
                <w:rFonts w:ascii="inter" w:eastAsia="inter" w:hAnsi="inter" w:cs="inter"/>
                <w:color w:val="000000"/>
                <w:sz w:val="17"/>
              </w:rPr>
              <w:t>治療反覆 CDI</w:t>
            </w:r>
          </w:p>
        </w:tc>
      </w:tr>
      <w:tr w:rsidR="005216E3" w14:paraId="18E01D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76709B" w14:textId="77777777" w:rsidR="005216E3" w:rsidRDefault="00000000">
            <w:pPr>
              <w:spacing w:line="360" w:lineRule="auto"/>
            </w:pPr>
            <w:r>
              <w:rPr>
                <w:rFonts w:ascii="inter" w:eastAsia="inter" w:hAnsi="inter" w:cs="inter"/>
                <w:color w:val="000000"/>
                <w:sz w:val="17"/>
              </w:rPr>
              <w:t>臨床證據</w:t>
            </w:r>
          </w:p>
        </w:tc>
        <w:tc>
          <w:tcPr>
            <w:tcW w:w="0" w:type="auto"/>
            <w:tcBorders>
              <w:top w:val="single" w:sz="1" w:space="0" w:color="000000"/>
              <w:bottom w:val="single" w:sz="1" w:space="0" w:color="000000"/>
              <w:right w:val="single" w:sz="1" w:space="0" w:color="000000"/>
            </w:tcBorders>
          </w:tcPr>
          <w:p w14:paraId="06CAB158" w14:textId="77777777" w:rsidR="005216E3" w:rsidRDefault="00000000">
            <w:pPr>
              <w:spacing w:line="360" w:lineRule="auto"/>
            </w:pPr>
            <w:r>
              <w:rPr>
                <w:rFonts w:ascii="inter" w:eastAsia="inter" w:hAnsi="inter" w:cs="inter"/>
                <w:color w:val="000000"/>
                <w:sz w:val="17"/>
              </w:rPr>
              <w:t>Phase I/II RCT + 大型回溯隊列，端點含 OS / PFS</w:t>
            </w:r>
          </w:p>
        </w:tc>
        <w:tc>
          <w:tcPr>
            <w:tcW w:w="0" w:type="auto"/>
            <w:tcBorders>
              <w:top w:val="single" w:sz="1" w:space="0" w:color="000000"/>
              <w:bottom w:val="single" w:sz="1" w:space="0" w:color="000000"/>
              <w:right w:val="single" w:sz="1" w:space="0" w:color="000000"/>
            </w:tcBorders>
          </w:tcPr>
          <w:p w14:paraId="290237F0" w14:textId="77777777" w:rsidR="005216E3" w:rsidRDefault="00000000">
            <w:pPr>
              <w:spacing w:line="360" w:lineRule="auto"/>
            </w:pPr>
            <w:r>
              <w:rPr>
                <w:rFonts w:ascii="inter" w:eastAsia="inter" w:hAnsi="inter" w:cs="inter"/>
                <w:color w:val="000000"/>
                <w:sz w:val="17"/>
              </w:rPr>
              <w:t>少數小型試驗，多以症狀為端點</w:t>
            </w:r>
          </w:p>
        </w:tc>
        <w:tc>
          <w:tcPr>
            <w:tcW w:w="0" w:type="auto"/>
            <w:tcBorders>
              <w:top w:val="single" w:sz="1" w:space="0" w:color="000000"/>
              <w:bottom w:val="single" w:sz="1" w:space="0" w:color="000000"/>
            </w:tcBorders>
          </w:tcPr>
          <w:p w14:paraId="5528CA27" w14:textId="77777777" w:rsidR="005216E3" w:rsidRDefault="00000000">
            <w:pPr>
              <w:spacing w:line="360" w:lineRule="auto"/>
            </w:pPr>
            <w:r>
              <w:rPr>
                <w:rFonts w:ascii="inter" w:eastAsia="inter" w:hAnsi="inter" w:cs="inter"/>
                <w:color w:val="000000"/>
                <w:sz w:val="17"/>
              </w:rPr>
              <w:t>大型 Phase III RCT，CDI 不復發率</w:t>
            </w:r>
          </w:p>
        </w:tc>
      </w:tr>
      <w:tr w:rsidR="005216E3" w14:paraId="3130E1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D6921A" w14:textId="77777777" w:rsidR="005216E3" w:rsidRDefault="00000000">
            <w:pPr>
              <w:spacing w:line="360" w:lineRule="auto"/>
            </w:pPr>
            <w:r>
              <w:rPr>
                <w:rFonts w:ascii="inter" w:eastAsia="inter" w:hAnsi="inter" w:cs="inter"/>
                <w:color w:val="000000"/>
                <w:sz w:val="17"/>
              </w:rPr>
              <w:t>穩定性</w:t>
            </w:r>
          </w:p>
        </w:tc>
        <w:tc>
          <w:tcPr>
            <w:tcW w:w="0" w:type="auto"/>
            <w:tcBorders>
              <w:top w:val="single" w:sz="1" w:space="0" w:color="000000"/>
              <w:bottom w:val="single" w:sz="1" w:space="0" w:color="000000"/>
              <w:right w:val="single" w:sz="1" w:space="0" w:color="000000"/>
            </w:tcBorders>
          </w:tcPr>
          <w:p w14:paraId="0AAFDAAC" w14:textId="77777777" w:rsidR="005216E3" w:rsidRDefault="00000000">
            <w:pPr>
              <w:spacing w:line="360" w:lineRule="auto"/>
            </w:pPr>
            <w:r>
              <w:rPr>
                <w:rFonts w:ascii="inter" w:eastAsia="inter" w:hAnsi="inter" w:cs="inter"/>
                <w:color w:val="000000"/>
                <w:sz w:val="17"/>
              </w:rPr>
              <w:t>芽孢，可耐 pH、抗生素</w:t>
            </w:r>
          </w:p>
        </w:tc>
        <w:tc>
          <w:tcPr>
            <w:tcW w:w="0" w:type="auto"/>
            <w:tcBorders>
              <w:top w:val="single" w:sz="1" w:space="0" w:color="000000"/>
              <w:bottom w:val="single" w:sz="1" w:space="0" w:color="000000"/>
              <w:right w:val="single" w:sz="1" w:space="0" w:color="000000"/>
            </w:tcBorders>
          </w:tcPr>
          <w:p w14:paraId="1764A931" w14:textId="77777777" w:rsidR="005216E3" w:rsidRDefault="00000000">
            <w:pPr>
              <w:spacing w:line="360" w:lineRule="auto"/>
            </w:pPr>
            <w:r>
              <w:rPr>
                <w:rFonts w:ascii="inter" w:eastAsia="inter" w:hAnsi="inter" w:cs="inter"/>
                <w:color w:val="000000"/>
                <w:sz w:val="17"/>
              </w:rPr>
              <w:t>多為營養型菌，不耐強酸與抗生素</w:t>
            </w:r>
          </w:p>
        </w:tc>
        <w:tc>
          <w:tcPr>
            <w:tcW w:w="0" w:type="auto"/>
            <w:tcBorders>
              <w:top w:val="single" w:sz="1" w:space="0" w:color="000000"/>
              <w:bottom w:val="single" w:sz="1" w:space="0" w:color="000000"/>
            </w:tcBorders>
          </w:tcPr>
          <w:p w14:paraId="0BBB72D4" w14:textId="77777777" w:rsidR="005216E3" w:rsidRDefault="00000000">
            <w:pPr>
              <w:spacing w:line="360" w:lineRule="auto"/>
            </w:pPr>
            <w:r>
              <w:rPr>
                <w:rFonts w:ascii="inter" w:eastAsia="inter" w:hAnsi="inter" w:cs="inter"/>
                <w:color w:val="000000"/>
                <w:sz w:val="17"/>
              </w:rPr>
              <w:t>大多為孢子或冷凍菌液</w:t>
            </w:r>
          </w:p>
        </w:tc>
      </w:tr>
      <w:tr w:rsidR="005216E3" w14:paraId="5DFF34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372FE7" w14:textId="77777777" w:rsidR="005216E3" w:rsidRDefault="00000000">
            <w:pPr>
              <w:spacing w:line="360" w:lineRule="auto"/>
            </w:pPr>
            <w:r>
              <w:rPr>
                <w:rFonts w:ascii="inter" w:eastAsia="inter" w:hAnsi="inter" w:cs="inter"/>
                <w:color w:val="000000"/>
                <w:sz w:val="17"/>
              </w:rPr>
              <w:t>應用環境</w:t>
            </w:r>
          </w:p>
        </w:tc>
        <w:tc>
          <w:tcPr>
            <w:tcW w:w="0" w:type="auto"/>
            <w:tcBorders>
              <w:top w:val="single" w:sz="1" w:space="0" w:color="000000"/>
              <w:bottom w:val="single" w:sz="1" w:space="0" w:color="000000"/>
              <w:right w:val="single" w:sz="1" w:space="0" w:color="000000"/>
            </w:tcBorders>
          </w:tcPr>
          <w:p w14:paraId="4F358BE1" w14:textId="77777777" w:rsidR="005216E3" w:rsidRDefault="00000000">
            <w:pPr>
              <w:spacing w:line="360" w:lineRule="auto"/>
            </w:pPr>
            <w:r>
              <w:rPr>
                <w:rFonts w:ascii="inter" w:eastAsia="inter" w:hAnsi="inter" w:cs="inter"/>
                <w:color w:val="000000"/>
                <w:sz w:val="17"/>
              </w:rPr>
              <w:t>ICI 治療、HSCT、重大手術、抗生素期</w:t>
            </w:r>
          </w:p>
        </w:tc>
        <w:tc>
          <w:tcPr>
            <w:tcW w:w="0" w:type="auto"/>
            <w:tcBorders>
              <w:top w:val="single" w:sz="1" w:space="0" w:color="000000"/>
              <w:bottom w:val="single" w:sz="1" w:space="0" w:color="000000"/>
              <w:right w:val="single" w:sz="1" w:space="0" w:color="000000"/>
            </w:tcBorders>
          </w:tcPr>
          <w:p w14:paraId="54442435" w14:textId="77777777" w:rsidR="005216E3" w:rsidRDefault="00000000">
            <w:pPr>
              <w:spacing w:line="360" w:lineRule="auto"/>
            </w:pPr>
            <w:r>
              <w:rPr>
                <w:rFonts w:ascii="inter" w:eastAsia="inter" w:hAnsi="inter" w:cs="inter"/>
                <w:color w:val="000000"/>
                <w:sz w:val="17"/>
              </w:rPr>
              <w:t>一般健康族群、輕度腸胃不適</w:t>
            </w:r>
          </w:p>
        </w:tc>
        <w:tc>
          <w:tcPr>
            <w:tcW w:w="0" w:type="auto"/>
            <w:tcBorders>
              <w:top w:val="single" w:sz="1" w:space="0" w:color="000000"/>
              <w:bottom w:val="single" w:sz="1" w:space="0" w:color="000000"/>
            </w:tcBorders>
          </w:tcPr>
          <w:p w14:paraId="552DED8E" w14:textId="77777777" w:rsidR="005216E3" w:rsidRDefault="00000000">
            <w:pPr>
              <w:spacing w:line="360" w:lineRule="auto"/>
            </w:pPr>
            <w:r>
              <w:rPr>
                <w:rFonts w:ascii="inter" w:eastAsia="inter" w:hAnsi="inter" w:cs="inter"/>
                <w:color w:val="000000"/>
                <w:sz w:val="17"/>
              </w:rPr>
              <w:t>CDI 後維持菌相多樣性</w:t>
            </w:r>
          </w:p>
        </w:tc>
      </w:tr>
    </w:tbl>
    <w:p w14:paraId="228B439E" w14:textId="77777777" w:rsidR="005216E3" w:rsidRDefault="005216E3"/>
    <w:p w14:paraId="53ADCE34" w14:textId="77777777" w:rsidR="005216E3" w:rsidRDefault="00000000">
      <w:pPr>
        <w:spacing w:after="210" w:line="360" w:lineRule="auto"/>
      </w:pPr>
      <w:r>
        <w:rPr>
          <w:rFonts w:ascii="inter" w:eastAsia="inter" w:hAnsi="inter" w:cs="inter"/>
          <w:color w:val="000000"/>
        </w:rPr>
        <w:t>由此可見，CBM588 在開發心態與使用情境上更接近於「癌症與重症醫學的 adjuvant therapy」，而不是單純的營養補充品。</w:t>
      </w:r>
      <w:bookmarkStart w:id="113" w:name="fnref10_2"/>
      <w:bookmarkEnd w:id="113"/>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14" w:name="fnref4_7"/>
      <w:bookmarkEnd w:id="114"/>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115" w:name="fnref2_9"/>
      <w:bookmarkEnd w:id="11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4DCC7782" w14:textId="77777777" w:rsidR="005216E3" w:rsidRDefault="006D6581">
      <w:pPr>
        <w:spacing w:before="210" w:after="0" w:line="360" w:lineRule="auto"/>
      </w:pPr>
      <w:r>
        <w:rPr>
          <w:noProof/>
        </w:rPr>
      </w:r>
      <w:r>
        <w:rPr>
          <w:noProof/>
        </w:rPr>
        <w:pict w14:anchorId="70301C22">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118F2B" w14:textId="77777777" w:rsidR="005216E3" w:rsidRDefault="00000000">
      <w:pPr>
        <w:spacing w:before="315" w:after="105" w:line="360" w:lineRule="auto"/>
        <w:ind w:left="-30"/>
      </w:pPr>
      <w:bookmarkStart w:id="116" w:name="八_限制與未來研究方向"/>
      <w:r>
        <w:rPr>
          <w:rFonts w:ascii="inter" w:eastAsia="inter" w:hAnsi="inter" w:cs="inter"/>
          <w:b/>
          <w:color w:val="000000"/>
          <w:sz w:val="24"/>
        </w:rPr>
        <w:t>八、限制與未來研究方向</w:t>
      </w:r>
      <w:bookmarkEnd w:id="116"/>
    </w:p>
    <w:p w14:paraId="14AE2F67" w14:textId="77777777" w:rsidR="005216E3" w:rsidRDefault="00000000">
      <w:pPr>
        <w:spacing w:after="210" w:line="360" w:lineRule="auto"/>
      </w:pPr>
      <w:r>
        <w:rPr>
          <w:rFonts w:ascii="inter" w:eastAsia="inter" w:hAnsi="inter" w:cs="inter"/>
          <w:color w:val="000000"/>
        </w:rPr>
        <w:t>雖然現有資料已顯示 CBM588 在多種嚴重疾病中的潛力，但仍存在幾項重要限制：</w:t>
      </w:r>
      <w:r>
        <w:rPr>
          <w:rFonts w:ascii="inter" w:eastAsia="inter" w:hAnsi="inter" w:cs="inter"/>
          <w:color w:val="000000"/>
        </w:rPr>
        <w:br/>
        <w:t>第一，目前多數研究樣本數偏小（多為 30–100 人），且以 Asia-Pacific 人口為主，仍需大型多中心 Phase III 試驗以確認療效與外推性。</w:t>
      </w:r>
      <w:bookmarkStart w:id="117" w:name="fnref13_2"/>
      <w:bookmarkEnd w:id="117"/>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118" w:name="fnref4_8"/>
      <w:bookmarkEnd w:id="118"/>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br/>
        <w:t>第二，雖然 IL‑10 / IDO‑1 / Rorγt+ Treg 軸線已被提出為關鍵機轉，但在人類體內尚缺乏直接的因果干預證據，未來可透過標靶抑制或生物標誌物研究加以驗證。</w:t>
      </w:r>
      <w:bookmarkStart w:id="119" w:name="fnref19_3"/>
      <w:bookmarkEnd w:id="119"/>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120" w:name="fnref18_3"/>
      <w:bookmarkEnd w:id="120"/>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795D4088" w14:textId="77777777" w:rsidR="005216E3" w:rsidRDefault="00000000">
      <w:pPr>
        <w:spacing w:after="210" w:line="360" w:lineRule="auto"/>
      </w:pPr>
      <w:r>
        <w:rPr>
          <w:rFonts w:ascii="inter" w:eastAsia="inter" w:hAnsi="inter" w:cs="inter"/>
          <w:color w:val="000000"/>
        </w:rPr>
        <w:t>第三，目前尚未建立明確的「反應預測指標」，例如以菌相中 Bifidobacterium 或 Eubacterium siraeum 基線豐度作為選擇 CBM588 病人的條件，這將是未來精準醫療與個人化微生物治療的重要方向。</w:t>
      </w:r>
      <w:bookmarkStart w:id="121" w:name="fnref20"/>
      <w:bookmarkEnd w:id="121"/>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122" w:name="fnref12_4"/>
      <w:bookmarkEnd w:id="122"/>
      <w:r>
        <w:fldChar w:fldCharType="begin"/>
      </w:r>
      <w:r>
        <w:instrText>HYPERLINK \l "fn12" \h</w:instrText>
      </w:r>
      <w:r>
        <w:fldChar w:fldCharType="separate"/>
      </w:r>
      <w:r>
        <w:rPr>
          <w:rFonts w:ascii="inter" w:eastAsia="inter" w:hAnsi="inter" w:cs="inter"/>
          <w:u w:val="single"/>
          <w:vertAlign w:val="superscript"/>
        </w:rPr>
        <w:t>[12]</w:t>
      </w:r>
      <w:r>
        <w:fldChar w:fldCharType="end"/>
      </w:r>
      <w:r>
        <w:rPr>
          <w:rFonts w:ascii="inter" w:eastAsia="inter" w:hAnsi="inter" w:cs="inter"/>
          <w:color w:val="000000"/>
        </w:rPr>
        <w:br/>
        <w:t>此外，劑量最佳化試驗（如 NCT06414642 等）正在進行，以釐清在不同治療組合與族群中的最適用量與療程長度。</w:t>
      </w:r>
      <w:bookmarkStart w:id="123" w:name="fnref21"/>
      <w:bookmarkEnd w:id="123"/>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24" w:name="fnref22"/>
      <w:bookmarkEnd w:id="124"/>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09819181" w14:textId="77777777" w:rsidR="005216E3" w:rsidRDefault="006D6581">
      <w:pPr>
        <w:spacing w:before="210" w:after="0" w:line="360" w:lineRule="auto"/>
      </w:pPr>
      <w:r>
        <w:rPr>
          <w:noProof/>
        </w:rPr>
      </w:r>
      <w:r>
        <w:rPr>
          <w:noProof/>
        </w:rPr>
        <w:pict w14:anchorId="1AD719E1">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B7AB26" w14:textId="77777777" w:rsidR="005216E3" w:rsidRDefault="00000000">
      <w:pPr>
        <w:spacing w:before="315" w:after="105" w:line="360" w:lineRule="auto"/>
        <w:ind w:left="-30"/>
        <w:rPr>
          <w:lang w:eastAsia="zh-TW"/>
        </w:rPr>
      </w:pPr>
      <w:bookmarkStart w:id="125" w:name="九_總結_cbm588_的臨床意義"/>
      <w:r>
        <w:rPr>
          <w:rFonts w:ascii="inter" w:eastAsia="inter" w:hAnsi="inter" w:cs="inter"/>
          <w:b/>
          <w:color w:val="000000"/>
          <w:sz w:val="24"/>
          <w:lang w:eastAsia="zh-TW"/>
        </w:rPr>
        <w:lastRenderedPageBreak/>
        <w:t>九、總結：CBM588 的臨床意義</w:t>
      </w:r>
      <w:bookmarkEnd w:id="125"/>
    </w:p>
    <w:p w14:paraId="032DADDF" w14:textId="77777777" w:rsidR="005216E3" w:rsidRDefault="00000000">
      <w:pPr>
        <w:spacing w:after="210" w:line="360" w:lineRule="auto"/>
        <w:rPr>
          <w:lang w:eastAsia="zh-TW"/>
        </w:rPr>
      </w:pPr>
      <w:r>
        <w:rPr>
          <w:rFonts w:ascii="inter" w:eastAsia="inter" w:hAnsi="inter" w:cs="inter"/>
          <w:color w:val="000000"/>
          <w:lang w:eastAsia="zh-TW"/>
        </w:rPr>
        <w:t>綜合目前證據，CBM588 可以被視為一種具明確臨床定位的次世代活體生物治療產品，其核心價值在於：</w:t>
      </w:r>
    </w:p>
    <w:p w14:paraId="0A73E80E" w14:textId="77777777" w:rsidR="005216E3" w:rsidRDefault="00000000">
      <w:pPr>
        <w:numPr>
          <w:ilvl w:val="0"/>
          <w:numId w:val="1"/>
        </w:numPr>
        <w:spacing w:before="105" w:after="105" w:line="360" w:lineRule="auto"/>
      </w:pPr>
      <w:r>
        <w:rPr>
          <w:rFonts w:ascii="inter" w:eastAsia="inter" w:hAnsi="inter" w:cs="inter"/>
          <w:color w:val="000000"/>
          <w:lang w:eastAsia="zh-TW"/>
        </w:rPr>
        <w:t>在免疫檢查點抑制治療的實際臨床環境中，顯著延長 mRCC 與 NSCLC 等癌症病人的無惡化與整體存活，尤其在 PD‑L1 低表現或同時使用 PPI / 抗生素的高風險族群中，顯示出逆轉 ICI 抗性的能力。</w:t>
      </w:r>
      <w:bookmarkStart w:id="126" w:name="fnref2_10"/>
      <w:bookmarkEnd w:id="126"/>
      <w:r>
        <w:fldChar w:fldCharType="begin"/>
      </w:r>
      <w:r>
        <w:rPr>
          <w:lang w:eastAsia="zh-TW"/>
        </w:rPr>
        <w:instrText>HYPERLINK \l "fn2" \h</w:instrText>
      </w:r>
      <w:r>
        <w:fldChar w:fldCharType="separate"/>
      </w:r>
      <w:r>
        <w:rPr>
          <w:rFonts w:ascii="inter" w:eastAsia="inter" w:hAnsi="inter" w:cs="inter"/>
          <w:u w:val="single"/>
          <w:vertAlign w:val="superscript"/>
        </w:rPr>
        <w:t>[2]</w:t>
      </w:r>
      <w:r>
        <w:fldChar w:fldCharType="end"/>
      </w:r>
      <w:bookmarkStart w:id="127" w:name="fnref11_8"/>
      <w:bookmarkEnd w:id="127"/>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28" w:name="fnref14_6"/>
      <w:bookmarkEnd w:id="128"/>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1B9A22BA" w14:textId="77777777" w:rsidR="005216E3" w:rsidRDefault="00000000">
      <w:pPr>
        <w:numPr>
          <w:ilvl w:val="0"/>
          <w:numId w:val="1"/>
        </w:numPr>
        <w:spacing w:before="105" w:after="105" w:line="360" w:lineRule="auto"/>
      </w:pPr>
      <w:r>
        <w:rPr>
          <w:rFonts w:ascii="inter" w:eastAsia="inter" w:hAnsi="inter" w:cs="inter"/>
          <w:color w:val="000000"/>
          <w:lang w:eastAsia="zh-TW"/>
        </w:rPr>
        <w:t>在 CDI、HSCT 與大腸直腸癌手術等極端醫療情境下，維持或恢復腸道菌相多樣性，保護黏膜屏障，並透過 IL‑10、IL‑17A、丁酸與犬尿醇代謝軸達到免疫調節與抗炎效果。</w:t>
      </w:r>
      <w:bookmarkStart w:id="129" w:name="fnref16_4"/>
      <w:bookmarkEnd w:id="129"/>
      <w:r>
        <w:fldChar w:fldCharType="begin"/>
      </w:r>
      <w:r>
        <w:rPr>
          <w:lang w:eastAsia="zh-TW"/>
        </w:rPr>
        <w:instrText>HYPERLINK \l "fn16" \h</w:instrText>
      </w:r>
      <w:r>
        <w:fldChar w:fldCharType="separate"/>
      </w:r>
      <w:r>
        <w:rPr>
          <w:rFonts w:ascii="inter" w:eastAsia="inter" w:hAnsi="inter" w:cs="inter"/>
          <w:u w:val="single"/>
          <w:vertAlign w:val="superscript"/>
        </w:rPr>
        <w:t>[16]</w:t>
      </w:r>
      <w:r>
        <w:fldChar w:fldCharType="end"/>
      </w:r>
      <w:bookmarkStart w:id="130" w:name="fnref17_3"/>
      <w:bookmarkEnd w:id="130"/>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31" w:name="fnref1_11"/>
      <w:bookmarkEnd w:id="13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32" w:name="fnref3_10"/>
      <w:bookmarkEnd w:id="132"/>
      <w:r>
        <w:fldChar w:fldCharType="begin"/>
      </w:r>
      <w:r>
        <w:instrText>HYPERLINK \l "fn3" \h</w:instrText>
      </w:r>
      <w:r>
        <w:fldChar w:fldCharType="separate"/>
      </w:r>
      <w:r>
        <w:rPr>
          <w:rFonts w:ascii="inter" w:eastAsia="inter" w:hAnsi="inter" w:cs="inter"/>
          <w:u w:val="single"/>
          <w:vertAlign w:val="superscript"/>
        </w:rPr>
        <w:t>[3]</w:t>
      </w:r>
      <w:r>
        <w:fldChar w:fldCharType="end"/>
      </w:r>
    </w:p>
    <w:p w14:paraId="0333088A" w14:textId="77777777" w:rsidR="005216E3" w:rsidRDefault="00000000">
      <w:pPr>
        <w:numPr>
          <w:ilvl w:val="0"/>
          <w:numId w:val="1"/>
        </w:numPr>
        <w:spacing w:before="105" w:after="105" w:line="360" w:lineRule="auto"/>
      </w:pPr>
      <w:r>
        <w:rPr>
          <w:rFonts w:ascii="inter" w:eastAsia="inter" w:hAnsi="inter" w:cs="inter"/>
          <w:color w:val="000000"/>
          <w:lang w:eastAsia="zh-TW"/>
        </w:rPr>
        <w:t>兼具高安全性與穩定性，能在強烈藥物與免疫壓力下長期使用而不增加嚴重不良事件風險，與日本數十年的上市經驗相互印證。</w:t>
      </w:r>
      <w:bookmarkStart w:id="133" w:name="fnref8_8"/>
      <w:bookmarkEnd w:id="133"/>
      <w:r>
        <w:fldChar w:fldCharType="begin"/>
      </w:r>
      <w:r>
        <w:rPr>
          <w:lang w:eastAsia="zh-TW"/>
        </w:rPr>
        <w:instrText>HYPERLINK \l "fn8" \h</w:instrText>
      </w:r>
      <w:r>
        <w:fldChar w:fldCharType="separate"/>
      </w:r>
      <w:r>
        <w:rPr>
          <w:rFonts w:ascii="inter" w:eastAsia="inter" w:hAnsi="inter" w:cs="inter"/>
          <w:u w:val="single"/>
          <w:vertAlign w:val="superscript"/>
        </w:rPr>
        <w:t>[8]</w:t>
      </w:r>
      <w:r>
        <w:fldChar w:fldCharType="end"/>
      </w:r>
      <w:bookmarkStart w:id="134" w:name="fnref1_12"/>
      <w:bookmarkEnd w:id="134"/>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35" w:name="fnref11_9"/>
      <w:bookmarkEnd w:id="135"/>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57DB4B98" w14:textId="77777777" w:rsidR="005216E3" w:rsidRDefault="00000000">
      <w:pPr>
        <w:spacing w:after="210" w:line="360" w:lineRule="auto"/>
      </w:pPr>
      <w:r>
        <w:rPr>
          <w:rFonts w:ascii="inter" w:eastAsia="inter" w:hAnsi="inter" w:cs="inter"/>
          <w:color w:val="000000"/>
          <w:lang w:eastAsia="zh-TW"/>
        </w:rPr>
        <w:t>因此，CBM588 並非單純的「升級版益生菌」，而是一種以嚴謹藥品標準開發、專門用於修復極度失衡微生態並輔助主要疾病治療的</w:t>
      </w:r>
      <w:r>
        <w:rPr>
          <w:rFonts w:ascii="inter" w:eastAsia="inter" w:hAnsi="inter" w:cs="inter"/>
          <w:b/>
          <w:color w:val="000000"/>
          <w:lang w:eastAsia="zh-TW"/>
        </w:rPr>
        <w:t>次世代活體生物治療藥品</w:t>
      </w:r>
      <w:r>
        <w:rPr>
          <w:rFonts w:ascii="inter" w:eastAsia="inter" w:hAnsi="inter" w:cs="inter"/>
          <w:color w:val="000000"/>
          <w:lang w:eastAsia="zh-TW"/>
        </w:rPr>
        <w:t>。隨著更大規模隨機試驗與機轉研究陸續完成，CBM588 很可能會在腫瘤學、移植醫學與重症醫療中，扮演越來越重要的治療樞紐角色。</w:t>
      </w:r>
      <w:bookmarkStart w:id="136" w:name="fnref15_1"/>
      <w:bookmarkEnd w:id="136"/>
      <w:r>
        <w:fldChar w:fldCharType="begin"/>
      </w:r>
      <w:r>
        <w:rPr>
          <w:lang w:eastAsia="zh-TW"/>
        </w:rPr>
        <w:instrText>HYPERLINK \l "fn15" \h</w:instrText>
      </w:r>
      <w:r>
        <w:fldChar w:fldCharType="separate"/>
      </w:r>
      <w:r>
        <w:rPr>
          <w:rFonts w:ascii="inter" w:eastAsia="inter" w:hAnsi="inter" w:cs="inter"/>
          <w:u w:val="single"/>
          <w:vertAlign w:val="superscript"/>
        </w:rPr>
        <w:t>[15]</w:t>
      </w:r>
      <w:r>
        <w:fldChar w:fldCharType="end"/>
      </w:r>
      <w:bookmarkStart w:id="137" w:name="fnref20_1"/>
      <w:bookmarkEnd w:id="137"/>
      <w:r>
        <w:fldChar w:fldCharType="begin"/>
      </w:r>
      <w:r>
        <w:instrText>HYPERLINK \l "fn20" \h</w:instrText>
      </w:r>
      <w:r>
        <w:fldChar w:fldCharType="separate"/>
      </w:r>
      <w:r>
        <w:rPr>
          <w:rFonts w:ascii="inter" w:eastAsia="inter" w:hAnsi="inter" w:cs="inter"/>
          <w:u w:val="single"/>
          <w:vertAlign w:val="superscript"/>
        </w:rPr>
        <w:t>[20]</w:t>
      </w:r>
      <w:r>
        <w:fldChar w:fldCharType="end"/>
      </w:r>
      <w:bookmarkStart w:id="138" w:name="fnref4_9"/>
      <w:bookmarkEnd w:id="138"/>
      <w:r>
        <w:fldChar w:fldCharType="begin"/>
      </w:r>
      <w:r>
        <w:instrText>HYPERLINK \l "fn4" \h</w:instrText>
      </w:r>
      <w:r>
        <w:fldChar w:fldCharType="separate"/>
      </w:r>
      <w:r>
        <w:rPr>
          <w:rFonts w:ascii="inter" w:eastAsia="inter" w:hAnsi="inter" w:cs="inter"/>
          <w:u w:val="single"/>
          <w:vertAlign w:val="superscript"/>
        </w:rPr>
        <w:t>[4]</w:t>
      </w:r>
      <w:r>
        <w:fldChar w:fldCharType="end"/>
      </w:r>
    </w:p>
    <w:p w14:paraId="12EFE3EC" w14:textId="77777777" w:rsidR="005216E3" w:rsidRDefault="006D6581">
      <w:pPr>
        <w:spacing w:before="210" w:after="0" w:line="360" w:lineRule="auto"/>
      </w:pPr>
      <w:r>
        <w:rPr>
          <w:noProof/>
        </w:rPr>
      </w:r>
      <w:r>
        <w:rPr>
          <w:noProof/>
        </w:rPr>
        <w:pict w14:anchorId="667377EB">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07916E" w14:textId="77777777" w:rsidR="005216E3" w:rsidRDefault="00000000">
      <w:pPr>
        <w:spacing w:before="315" w:after="105" w:line="360" w:lineRule="auto"/>
        <w:ind w:left="-30"/>
        <w:rPr>
          <w:lang w:eastAsia="zh-TW"/>
        </w:rPr>
      </w:pPr>
      <w:bookmarkStart w:id="139" w:name="參考文獻_apa_格式"/>
      <w:r>
        <w:rPr>
          <w:rFonts w:ascii="inter" w:eastAsia="inter" w:hAnsi="inter" w:cs="inter"/>
          <w:b/>
          <w:color w:val="000000"/>
          <w:sz w:val="24"/>
          <w:lang w:eastAsia="zh-TW"/>
        </w:rPr>
        <w:t>參考文獻（APA 格式）</w:t>
      </w:r>
      <w:bookmarkEnd w:id="139"/>
    </w:p>
    <w:p w14:paraId="7562E161" w14:textId="77777777" w:rsidR="005216E3" w:rsidRDefault="00000000">
      <w:pPr>
        <w:spacing w:after="210" w:line="360" w:lineRule="auto"/>
      </w:pPr>
      <w:r>
        <w:rPr>
          <w:rFonts w:ascii="inter" w:eastAsia="inter" w:hAnsi="inter" w:cs="inter"/>
          <w:color w:val="000000"/>
        </w:rPr>
        <w:t xml:space="preserve">Del Socorro, T. P., Oka, K., Boulard, O., et al. (2024). The biotherapeutic </w:t>
      </w:r>
      <w:r>
        <w:rPr>
          <w:rFonts w:ascii="inter" w:eastAsia="inter" w:hAnsi="inter" w:cs="inter"/>
          <w:i/>
          <w:color w:val="000000"/>
        </w:rPr>
        <w:t>Clostridium butyricum</w:t>
      </w:r>
      <w:r>
        <w:rPr>
          <w:rFonts w:ascii="inter" w:eastAsia="inter" w:hAnsi="inter" w:cs="inter"/>
          <w:color w:val="000000"/>
        </w:rPr>
        <w:t xml:space="preserve"> MIYAIRI 588 strain potentiates enterotropism of Rorγt+ Treg and PD-1 blockade efficacy. </w:t>
      </w:r>
      <w:r>
        <w:rPr>
          <w:rFonts w:ascii="inter" w:eastAsia="inter" w:hAnsi="inter" w:cs="inter"/>
          <w:i/>
          <w:color w:val="000000"/>
        </w:rPr>
        <w:t>Gut Microbes</w:t>
      </w:r>
      <w:r>
        <w:rPr>
          <w:rFonts w:ascii="inter" w:eastAsia="inter" w:hAnsi="inter" w:cs="inter"/>
          <w:color w:val="000000"/>
        </w:rPr>
        <w:t>, 16(1), 2315631.</w:t>
      </w:r>
      <w:bookmarkStart w:id="140" w:name="fnref18_4"/>
      <w:bookmarkEnd w:id="140"/>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6D6D3DD2" w14:textId="77777777" w:rsidR="005216E3" w:rsidRDefault="00000000">
      <w:pPr>
        <w:spacing w:after="210" w:line="360" w:lineRule="auto"/>
      </w:pPr>
      <w:r>
        <w:rPr>
          <w:rFonts w:ascii="inter" w:eastAsia="inter" w:hAnsi="inter" w:cs="inter"/>
          <w:color w:val="000000"/>
        </w:rPr>
        <w:t xml:space="preserve">Dizman, N., Meza, L., Bergerot, P., et al. (2022). Nivolumab plus ipilimumab with or without live bacterial product CBM588 in patients with metastatic renal cell carcinoma. </w:t>
      </w:r>
      <w:r>
        <w:rPr>
          <w:rFonts w:ascii="inter" w:eastAsia="inter" w:hAnsi="inter" w:cs="inter"/>
          <w:i/>
          <w:color w:val="000000"/>
        </w:rPr>
        <w:t>Nature Medicine</w:t>
      </w:r>
      <w:r>
        <w:rPr>
          <w:rFonts w:ascii="inter" w:eastAsia="inter" w:hAnsi="inter" w:cs="inter"/>
          <w:color w:val="000000"/>
        </w:rPr>
        <w:t>, 28(4), 704–712.</w:t>
      </w:r>
      <w:bookmarkStart w:id="141" w:name="fnref11_10"/>
      <w:bookmarkEnd w:id="141"/>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2E99D99" w14:textId="77777777" w:rsidR="005216E3" w:rsidRDefault="00000000">
      <w:pPr>
        <w:spacing w:after="210" w:line="360" w:lineRule="auto"/>
      </w:pPr>
      <w:r>
        <w:rPr>
          <w:rFonts w:ascii="inter" w:eastAsia="inter" w:hAnsi="inter" w:cs="inter"/>
          <w:color w:val="000000"/>
        </w:rPr>
        <w:t xml:space="preserve">Ebrahimi, H., Agarwal, N., Dizman, N., et al. (2024). Cabozantinib and nivolumab with or without live bacterial product CBM588 in metastatic renal cell carcinoma. </w:t>
      </w:r>
      <w:r>
        <w:rPr>
          <w:rFonts w:ascii="inter" w:eastAsia="inter" w:hAnsi="inter" w:cs="inter"/>
          <w:i/>
          <w:color w:val="000000"/>
        </w:rPr>
        <w:t>Nature Medicine</w:t>
      </w:r>
      <w:r>
        <w:rPr>
          <w:rFonts w:ascii="inter" w:eastAsia="inter" w:hAnsi="inter" w:cs="inter"/>
          <w:color w:val="000000"/>
        </w:rPr>
        <w:t>, 30(9), 1876–1882.</w:t>
      </w:r>
      <w:bookmarkStart w:id="142" w:name="fnref14_7"/>
      <w:bookmarkEnd w:id="142"/>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74FB73F" w14:textId="77777777" w:rsidR="005216E3" w:rsidRDefault="00000000">
      <w:pPr>
        <w:spacing w:after="210" w:line="360" w:lineRule="auto"/>
      </w:pPr>
      <w:r>
        <w:rPr>
          <w:rFonts w:ascii="inter" w:eastAsia="inter" w:hAnsi="inter" w:cs="inter"/>
          <w:color w:val="000000"/>
        </w:rPr>
        <w:t xml:space="preserve">Fukushima, K., Fukushima, N., Tomita, Y., et al. (2024). </w:t>
      </w:r>
      <w:r>
        <w:rPr>
          <w:rFonts w:ascii="inter" w:eastAsia="inter" w:hAnsi="inter" w:cs="inter"/>
          <w:i/>
          <w:color w:val="000000"/>
        </w:rPr>
        <w:t>Clostridium butyricum</w:t>
      </w:r>
      <w:r>
        <w:rPr>
          <w:rFonts w:ascii="inter" w:eastAsia="inter" w:hAnsi="inter" w:cs="inter"/>
          <w:color w:val="000000"/>
        </w:rPr>
        <w:t xml:space="preserve"> MIYAIRI 588 contributes to the maintenance of intestinal microbiota diversity early after haematopoietic cell transplantation. </w:t>
      </w:r>
      <w:r>
        <w:rPr>
          <w:rFonts w:ascii="inter" w:eastAsia="inter" w:hAnsi="inter" w:cs="inter"/>
          <w:i/>
          <w:color w:val="000000"/>
        </w:rPr>
        <w:t>Bone Marrow Transplantation</w:t>
      </w:r>
      <w:r>
        <w:rPr>
          <w:rFonts w:ascii="inter" w:eastAsia="inter" w:hAnsi="inter" w:cs="inter"/>
          <w:color w:val="000000"/>
        </w:rPr>
        <w:t>, 59, 823–834.</w:t>
      </w:r>
      <w:bookmarkStart w:id="143" w:name="fnref17_4"/>
      <w:bookmarkEnd w:id="143"/>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44" w:name="fnref1_13"/>
      <w:bookmarkEnd w:id="14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835BC5C" w14:textId="77777777" w:rsidR="005216E3" w:rsidRDefault="00000000">
      <w:pPr>
        <w:spacing w:after="210" w:line="360" w:lineRule="auto"/>
      </w:pPr>
      <w:r>
        <w:rPr>
          <w:rFonts w:ascii="inter" w:eastAsia="inter" w:hAnsi="inter" w:cs="inter"/>
          <w:color w:val="000000"/>
        </w:rPr>
        <w:t xml:space="preserve">Hagihara, M., Ariyoshi, T., Kuroki, Y., et al. (2021). </w:t>
      </w:r>
      <w:r>
        <w:rPr>
          <w:rFonts w:ascii="inter" w:eastAsia="inter" w:hAnsi="inter" w:cs="inter"/>
          <w:i/>
          <w:color w:val="000000"/>
        </w:rPr>
        <w:t>Clostridium butyricum</w:t>
      </w:r>
      <w:r>
        <w:rPr>
          <w:rFonts w:ascii="inter" w:eastAsia="inter" w:hAnsi="inter" w:cs="inter"/>
          <w:color w:val="000000"/>
        </w:rPr>
        <w:t xml:space="preserve"> enhances colonization resistance against </w:t>
      </w:r>
      <w:r>
        <w:rPr>
          <w:rFonts w:ascii="inter" w:eastAsia="inter" w:hAnsi="inter" w:cs="inter"/>
          <w:i/>
          <w:color w:val="000000"/>
        </w:rPr>
        <w:t>Clostridioides difficile</w:t>
      </w:r>
      <w:r>
        <w:rPr>
          <w:rFonts w:ascii="inter" w:eastAsia="inter" w:hAnsi="inter" w:cs="inter"/>
          <w:color w:val="000000"/>
        </w:rPr>
        <w:t xml:space="preserve"> by metabolic and immune modulation. </w:t>
      </w:r>
      <w:r>
        <w:rPr>
          <w:rFonts w:ascii="inter" w:eastAsia="inter" w:hAnsi="inter" w:cs="inter"/>
          <w:i/>
          <w:color w:val="000000"/>
        </w:rPr>
        <w:t>Scientific Reports</w:t>
      </w:r>
      <w:r>
        <w:rPr>
          <w:rFonts w:ascii="inter" w:eastAsia="inter" w:hAnsi="inter" w:cs="inter"/>
          <w:color w:val="000000"/>
        </w:rPr>
        <w:t>, 11, 15007.</w:t>
      </w:r>
      <w:bookmarkStart w:id="145" w:name="fnref16_5"/>
      <w:bookmarkEnd w:id="145"/>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46" w:name="fnref3_11"/>
      <w:bookmarkEnd w:id="146"/>
      <w:r>
        <w:fldChar w:fldCharType="begin"/>
      </w:r>
      <w:r>
        <w:instrText>HYPERLINK \l "fn3" \h</w:instrText>
      </w:r>
      <w:r>
        <w:fldChar w:fldCharType="separate"/>
      </w:r>
      <w:r>
        <w:rPr>
          <w:rFonts w:ascii="inter" w:eastAsia="inter" w:hAnsi="inter" w:cs="inter"/>
          <w:u w:val="single"/>
          <w:vertAlign w:val="superscript"/>
        </w:rPr>
        <w:t>[3]</w:t>
      </w:r>
      <w:r>
        <w:fldChar w:fldCharType="end"/>
      </w:r>
    </w:p>
    <w:p w14:paraId="0087F269" w14:textId="77777777" w:rsidR="005216E3" w:rsidRDefault="00000000">
      <w:pPr>
        <w:spacing w:after="210" w:line="360" w:lineRule="auto"/>
      </w:pPr>
      <w:r>
        <w:rPr>
          <w:rFonts w:ascii="inter" w:eastAsia="inter" w:hAnsi="inter" w:cs="inter"/>
          <w:color w:val="000000"/>
        </w:rPr>
        <w:lastRenderedPageBreak/>
        <w:t xml:space="preserve">Tomita, Y., Sakata, S., Imamura, K., et al. (2023). Association of </w:t>
      </w:r>
      <w:r>
        <w:rPr>
          <w:rFonts w:ascii="inter" w:eastAsia="inter" w:hAnsi="inter" w:cs="inter"/>
          <w:i/>
          <w:color w:val="000000"/>
        </w:rPr>
        <w:t>Clostridium butyricum</w:t>
      </w:r>
      <w:r>
        <w:rPr>
          <w:rFonts w:ascii="inter" w:eastAsia="inter" w:hAnsi="inter" w:cs="inter"/>
          <w:color w:val="000000"/>
        </w:rPr>
        <w:t xml:space="preserve"> therapy using the live bacterial product CBM588 with the survival of patients with lung cancer receiving chemoimmunotherapy combinations. </w:t>
      </w:r>
      <w:r>
        <w:rPr>
          <w:rFonts w:ascii="inter" w:eastAsia="inter" w:hAnsi="inter" w:cs="inter"/>
          <w:i/>
          <w:color w:val="000000"/>
        </w:rPr>
        <w:t>Cancers</w:t>
      </w:r>
      <w:r>
        <w:rPr>
          <w:rFonts w:ascii="inter" w:eastAsia="inter" w:hAnsi="inter" w:cs="inter"/>
          <w:color w:val="000000"/>
        </w:rPr>
        <w:t>, 16(1), 47.</w:t>
      </w:r>
      <w:bookmarkStart w:id="147" w:name="fnref2_11"/>
      <w:bookmarkEnd w:id="147"/>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A6B6994" w14:textId="77777777" w:rsidR="005216E3" w:rsidRDefault="00000000">
      <w:pPr>
        <w:spacing w:after="210" w:line="360" w:lineRule="auto"/>
      </w:pPr>
      <w:r>
        <w:rPr>
          <w:rFonts w:ascii="inter" w:eastAsia="inter" w:hAnsi="inter" w:cs="inter"/>
          <w:color w:val="000000"/>
        </w:rPr>
        <w:t xml:space="preserve">U.S. Food and Drug Administration. (2018). </w:t>
      </w:r>
      <w:r>
        <w:rPr>
          <w:rFonts w:ascii="inter" w:eastAsia="inter" w:hAnsi="inter" w:cs="inter"/>
          <w:i/>
          <w:color w:val="000000"/>
        </w:rPr>
        <w:t>Early clinical trials with live biotherapeutic products: Chemistry, manufacturing, and control information</w:t>
      </w:r>
      <w:r>
        <w:rPr>
          <w:rFonts w:ascii="inter" w:eastAsia="inter" w:hAnsi="inter" w:cs="inter"/>
          <w:color w:val="000000"/>
        </w:rPr>
        <w:t xml:space="preserve"> (Guidance for Industry, FDA-2010-D-0500).</w:t>
      </w:r>
      <w:bookmarkStart w:id="148" w:name="fnref5_2"/>
      <w:bookmarkEnd w:id="148"/>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49" w:name="fnref6_5"/>
      <w:bookmarkEnd w:id="149"/>
      <w:r>
        <w:fldChar w:fldCharType="begin"/>
      </w:r>
      <w:r>
        <w:instrText>HYPERLINK \l "fn6" \h</w:instrText>
      </w:r>
      <w:r>
        <w:fldChar w:fldCharType="separate"/>
      </w:r>
      <w:r>
        <w:rPr>
          <w:rFonts w:ascii="inter" w:eastAsia="inter" w:hAnsi="inter" w:cs="inter"/>
          <w:u w:val="single"/>
          <w:vertAlign w:val="superscript"/>
        </w:rPr>
        <w:t>[6]</w:t>
      </w:r>
      <w:r>
        <w:fldChar w:fldCharType="end"/>
      </w:r>
    </w:p>
    <w:p w14:paraId="05BE3EE4" w14:textId="77777777" w:rsidR="005216E3" w:rsidRDefault="00000000">
      <w:pPr>
        <w:spacing w:after="210" w:line="360" w:lineRule="auto"/>
      </w:pPr>
      <w:r>
        <w:rPr>
          <w:rFonts w:ascii="inter" w:eastAsia="inter" w:hAnsi="inter" w:cs="inter"/>
          <w:color w:val="000000"/>
        </w:rPr>
        <w:t xml:space="preserve">Chang, C. J., Lin, T. L., Tsai, Y. L., et al. (2019). Next generation probiotics in disease amelioration. </w:t>
      </w:r>
      <w:r>
        <w:rPr>
          <w:rFonts w:ascii="inter" w:eastAsia="inter" w:hAnsi="inter" w:cs="inter"/>
          <w:i/>
          <w:color w:val="000000"/>
        </w:rPr>
        <w:t>Journal of Food and Drug Analysis</w:t>
      </w:r>
      <w:r>
        <w:rPr>
          <w:rFonts w:ascii="inter" w:eastAsia="inter" w:hAnsi="inter" w:cs="inter"/>
          <w:color w:val="000000"/>
        </w:rPr>
        <w:t>, 27(4), 615–622.</w:t>
      </w:r>
      <w:bookmarkStart w:id="150" w:name="fnref23"/>
      <w:bookmarkEnd w:id="150"/>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6E7F73E3" w14:textId="77777777" w:rsidR="005216E3" w:rsidRDefault="00000000">
      <w:pPr>
        <w:spacing w:after="210" w:line="360" w:lineRule="auto"/>
      </w:pPr>
      <w:r>
        <w:rPr>
          <w:rFonts w:ascii="inter" w:eastAsia="inter" w:hAnsi="inter" w:cs="inter"/>
          <w:color w:val="000000"/>
        </w:rPr>
        <w:t xml:space="preserve">Pan, S., Hsu, J.-C., Hung, K.-T., &amp; Ho, C.-J. (2025). Regulatory framework and challenges for live biotherapeutic products in Taiwan. </w:t>
      </w:r>
      <w:r>
        <w:rPr>
          <w:rFonts w:ascii="inter" w:eastAsia="inter" w:hAnsi="inter" w:cs="inter"/>
          <w:i/>
          <w:color w:val="000000"/>
        </w:rPr>
        <w:t>Journal of Food and Drug Analysis</w:t>
      </w:r>
      <w:r>
        <w:rPr>
          <w:rFonts w:ascii="inter" w:eastAsia="inter" w:hAnsi="inter" w:cs="inter"/>
          <w:color w:val="000000"/>
        </w:rPr>
        <w:t>, 33(2), 115–129.</w:t>
      </w:r>
      <w:bookmarkStart w:id="151" w:name="fnref23_1"/>
      <w:bookmarkEnd w:id="151"/>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152" w:name="fnref4_10"/>
      <w:bookmarkEnd w:id="152"/>
      <w:r>
        <w:fldChar w:fldCharType="begin"/>
      </w:r>
      <w:r>
        <w:instrText>HYPERLINK \l "fn4" \h</w:instrText>
      </w:r>
      <w:r>
        <w:fldChar w:fldCharType="separate"/>
      </w:r>
      <w:r>
        <w:rPr>
          <w:rFonts w:ascii="inter" w:eastAsia="inter" w:hAnsi="inter" w:cs="inter"/>
          <w:u w:val="single"/>
          <w:vertAlign w:val="superscript"/>
        </w:rPr>
        <w:t>[4]</w:t>
      </w:r>
      <w:r>
        <w:fldChar w:fldCharType="end"/>
      </w:r>
    </w:p>
    <w:p w14:paraId="2A8DBB1C" w14:textId="40C196BA" w:rsidR="005216E3" w:rsidRDefault="005216E3">
      <w:pPr>
        <w:spacing w:after="210" w:line="360" w:lineRule="auto"/>
        <w:rPr>
          <w:rFonts w:hint="eastAsia"/>
          <w:lang w:eastAsia="zh-TW"/>
        </w:rPr>
      </w:pPr>
    </w:p>
    <w:p w14:paraId="1A4FED60" w14:textId="77777777" w:rsidR="005216E3" w:rsidRDefault="00000000">
      <w:pPr>
        <w:spacing w:line="360" w:lineRule="auto"/>
      </w:pPr>
      <w:r>
        <w:rPr>
          <w:rFonts w:ascii="inter" w:eastAsia="inter" w:hAnsi="inter" w:cs="inter"/>
          <w:color w:val="000000"/>
        </w:rPr>
        <w:t>⁂</w:t>
      </w:r>
    </w:p>
    <w:p w14:paraId="07524B4E" w14:textId="77777777" w:rsidR="005216E3" w:rsidRDefault="006D6581">
      <w:pPr>
        <w:spacing w:before="210" w:after="0" w:line="360" w:lineRule="auto"/>
      </w:pPr>
      <w:r>
        <w:rPr>
          <w:noProof/>
        </w:rPr>
      </w:r>
      <w:r>
        <w:rPr>
          <w:noProof/>
        </w:rPr>
        <w:pict w14:anchorId="1A8577E6">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53" w:name="fn1"/>
    <w:bookmarkEnd w:id="153"/>
    <w:p w14:paraId="7B1F9120" w14:textId="77777777" w:rsidR="005216E3" w:rsidRDefault="00000000">
      <w:pPr>
        <w:numPr>
          <w:ilvl w:val="0"/>
          <w:numId w:val="3"/>
        </w:numPr>
        <w:spacing w:after="210" w:line="360" w:lineRule="auto"/>
      </w:pPr>
      <w:r>
        <w:fldChar w:fldCharType="begin"/>
      </w:r>
      <w:r>
        <w:instrText>HYPERLINK "https://www.nature.com/articles/s41409-024-02250-1" \h</w:instrText>
      </w:r>
      <w:r>
        <w:fldChar w:fldCharType="separate"/>
      </w:r>
      <w:r>
        <w:rPr>
          <w:rFonts w:ascii="inter" w:eastAsia="inter" w:hAnsi="inter" w:cs="inter"/>
          <w:sz w:val="18"/>
          <w:u w:val="single"/>
        </w:rPr>
        <w:t>https://www.nature.com/articles/s41409-024-02250-1</w:t>
      </w:r>
      <w:r>
        <w:fldChar w:fldCharType="end"/>
      </w:r>
      <w:r>
        <w:rPr>
          <w:rFonts w:ascii="inter" w:eastAsia="inter" w:hAnsi="inter" w:cs="inter"/>
          <w:color w:val="000000"/>
          <w:sz w:val="18"/>
        </w:rPr>
        <w:t xml:space="preserve">              </w:t>
      </w:r>
    </w:p>
    <w:bookmarkStart w:id="154" w:name="fn2"/>
    <w:bookmarkEnd w:id="154"/>
    <w:p w14:paraId="050F75C2" w14:textId="77777777" w:rsidR="005216E3" w:rsidRDefault="00000000">
      <w:pPr>
        <w:numPr>
          <w:ilvl w:val="0"/>
          <w:numId w:val="3"/>
        </w:numPr>
        <w:spacing w:after="210" w:line="360" w:lineRule="auto"/>
      </w:pPr>
      <w:r>
        <w:fldChar w:fldCharType="begin"/>
      </w:r>
      <w:r>
        <w:instrText>HYPERLINK "https://pubmed.ncbi.nlm.nih.gov/38201474/" \h</w:instrText>
      </w:r>
      <w:r>
        <w:fldChar w:fldCharType="separate"/>
      </w:r>
      <w:r>
        <w:rPr>
          <w:rFonts w:ascii="inter" w:eastAsia="inter" w:hAnsi="inter" w:cs="inter"/>
          <w:sz w:val="18"/>
          <w:u w:val="single"/>
        </w:rPr>
        <w:t>https://pubmed.ncbi.nlm.nih.gov/38201474/</w:t>
      </w:r>
      <w:r>
        <w:fldChar w:fldCharType="end"/>
      </w:r>
      <w:r>
        <w:rPr>
          <w:rFonts w:ascii="inter" w:eastAsia="inter" w:hAnsi="inter" w:cs="inter"/>
          <w:color w:val="000000"/>
          <w:sz w:val="18"/>
        </w:rPr>
        <w:t xml:space="preserve">            </w:t>
      </w:r>
    </w:p>
    <w:bookmarkStart w:id="155" w:name="fn3"/>
    <w:bookmarkEnd w:id="155"/>
    <w:p w14:paraId="3D2553FE" w14:textId="77777777" w:rsidR="005216E3" w:rsidRDefault="00000000">
      <w:pPr>
        <w:numPr>
          <w:ilvl w:val="0"/>
          <w:numId w:val="3"/>
        </w:numPr>
        <w:spacing w:after="210" w:line="360" w:lineRule="auto"/>
      </w:pPr>
      <w:r>
        <w:fldChar w:fldCharType="begin"/>
      </w:r>
      <w:r>
        <w:instrText>HYPERLINK "https://www.nature.com/articles/s41598-021-94572-z" \h</w:instrText>
      </w:r>
      <w:r>
        <w:fldChar w:fldCharType="separate"/>
      </w:r>
      <w:r>
        <w:rPr>
          <w:rFonts w:ascii="inter" w:eastAsia="inter" w:hAnsi="inter" w:cs="inter"/>
          <w:sz w:val="18"/>
          <w:u w:val="single"/>
        </w:rPr>
        <w:t>https://www.nature.com/articles/s41598-021-94572-z</w:t>
      </w:r>
      <w:r>
        <w:fldChar w:fldCharType="end"/>
      </w:r>
      <w:r>
        <w:rPr>
          <w:rFonts w:ascii="inter" w:eastAsia="inter" w:hAnsi="inter" w:cs="inter"/>
          <w:color w:val="000000"/>
          <w:sz w:val="18"/>
        </w:rPr>
        <w:t xml:space="preserve">            </w:t>
      </w:r>
    </w:p>
    <w:bookmarkStart w:id="156" w:name="fn4"/>
    <w:bookmarkEnd w:id="156"/>
    <w:p w14:paraId="5C13F9CF" w14:textId="77777777" w:rsidR="005216E3" w:rsidRDefault="00000000">
      <w:pPr>
        <w:numPr>
          <w:ilvl w:val="0"/>
          <w:numId w:val="3"/>
        </w:numPr>
        <w:spacing w:after="210" w:line="360" w:lineRule="auto"/>
      </w:pPr>
      <w:r>
        <w:fldChar w:fldCharType="begin"/>
      </w:r>
      <w:r>
        <w:instrText>HYPERLINK "https://pmc.ncbi.nlm.nih.gov/articles/PMC12013581/" \h</w:instrText>
      </w:r>
      <w:r>
        <w:fldChar w:fldCharType="separate"/>
      </w:r>
      <w:r>
        <w:rPr>
          <w:rFonts w:ascii="inter" w:eastAsia="inter" w:hAnsi="inter" w:cs="inter"/>
          <w:sz w:val="18"/>
          <w:u w:val="single"/>
        </w:rPr>
        <w:t>https://pmc.ncbi.nlm.nih.gov/articles/PMC12013581/</w:t>
      </w:r>
      <w:r>
        <w:fldChar w:fldCharType="end"/>
      </w:r>
      <w:r>
        <w:rPr>
          <w:rFonts w:ascii="inter" w:eastAsia="inter" w:hAnsi="inter" w:cs="inter"/>
          <w:color w:val="000000"/>
          <w:sz w:val="18"/>
        </w:rPr>
        <w:t xml:space="preserve">           </w:t>
      </w:r>
    </w:p>
    <w:bookmarkStart w:id="157" w:name="fn5"/>
    <w:bookmarkEnd w:id="157"/>
    <w:p w14:paraId="05635F6E" w14:textId="77777777" w:rsidR="005216E3" w:rsidRDefault="00000000">
      <w:pPr>
        <w:numPr>
          <w:ilvl w:val="0"/>
          <w:numId w:val="3"/>
        </w:numPr>
        <w:spacing w:after="210" w:line="360" w:lineRule="auto"/>
      </w:pPr>
      <w:r>
        <w:fldChar w:fldCharType="begin"/>
      </w:r>
      <w:r>
        <w:instrText>HYPERLINK "https://www.fda.gov/regulatory-information/search-fda-guidance-documents/early-clinical-trials-live-biotherapeutic-products-chemistry-manufacturing-and-control-information" \h</w:instrText>
      </w:r>
      <w:r>
        <w:fldChar w:fldCharType="separate"/>
      </w:r>
      <w:r>
        <w:rPr>
          <w:rFonts w:ascii="inter" w:eastAsia="inter" w:hAnsi="inter" w:cs="inter"/>
          <w:sz w:val="18"/>
          <w:u w:val="single"/>
        </w:rPr>
        <w:t>https://www.fda.gov/regulatory-information/search-fda-guidance-documents/early-clinical-trials-live-biotherapeutic-products-chemistry-manufacturing-and-control-information</w:t>
      </w:r>
      <w:r>
        <w:fldChar w:fldCharType="end"/>
      </w:r>
      <w:r>
        <w:rPr>
          <w:rFonts w:ascii="inter" w:eastAsia="inter" w:hAnsi="inter" w:cs="inter"/>
          <w:color w:val="000000"/>
          <w:sz w:val="18"/>
        </w:rPr>
        <w:t xml:space="preserve">   </w:t>
      </w:r>
    </w:p>
    <w:bookmarkStart w:id="158" w:name="fn6"/>
    <w:bookmarkEnd w:id="158"/>
    <w:p w14:paraId="5050C1A5" w14:textId="77777777" w:rsidR="005216E3" w:rsidRDefault="00000000">
      <w:pPr>
        <w:numPr>
          <w:ilvl w:val="0"/>
          <w:numId w:val="3"/>
        </w:numPr>
        <w:spacing w:after="210" w:line="360" w:lineRule="auto"/>
      </w:pPr>
      <w:r>
        <w:fldChar w:fldCharType="begin"/>
      </w:r>
      <w:r>
        <w:instrText>HYPERLINK "https://journals.asm.org/doi/10.1128/microbiolspec.bad-0017-2017" \h</w:instrText>
      </w:r>
      <w:r>
        <w:fldChar w:fldCharType="separate"/>
      </w:r>
      <w:r>
        <w:rPr>
          <w:rFonts w:ascii="inter" w:eastAsia="inter" w:hAnsi="inter" w:cs="inter"/>
          <w:sz w:val="18"/>
          <w:u w:val="single"/>
        </w:rPr>
        <w:t>https://journals.asm.org/doi/10.1128/microbiolspec.bad-0017-2017</w:t>
      </w:r>
      <w:r>
        <w:fldChar w:fldCharType="end"/>
      </w:r>
      <w:r>
        <w:rPr>
          <w:rFonts w:ascii="inter" w:eastAsia="inter" w:hAnsi="inter" w:cs="inter"/>
          <w:color w:val="000000"/>
          <w:sz w:val="18"/>
        </w:rPr>
        <w:t xml:space="preserve">      </w:t>
      </w:r>
    </w:p>
    <w:bookmarkStart w:id="159" w:name="fn7"/>
    <w:bookmarkEnd w:id="159"/>
    <w:p w14:paraId="4521CA1B" w14:textId="77777777" w:rsidR="005216E3" w:rsidRDefault="00000000">
      <w:pPr>
        <w:numPr>
          <w:ilvl w:val="0"/>
          <w:numId w:val="3"/>
        </w:numPr>
        <w:spacing w:after="210" w:line="360" w:lineRule="auto"/>
      </w:pPr>
      <w:r>
        <w:fldChar w:fldCharType="begin"/>
      </w:r>
      <w:r>
        <w:instrText>HYPERLINK "https://www.microbiometimes.com/the-complexities-of-regulatory-approval-for-live-biotherapeutic-products-unravelled/" \h</w:instrText>
      </w:r>
      <w:r>
        <w:fldChar w:fldCharType="separate"/>
      </w:r>
      <w:r>
        <w:rPr>
          <w:rFonts w:ascii="inter" w:eastAsia="inter" w:hAnsi="inter" w:cs="inter"/>
          <w:sz w:val="18"/>
          <w:u w:val="single"/>
        </w:rPr>
        <w:t>https://www.microbiometimes.com/the-complexities-of-regulatory-approval-for-live-biotherapeutic-products-unravelled/</w:t>
      </w:r>
      <w:r>
        <w:fldChar w:fldCharType="end"/>
      </w:r>
      <w:r>
        <w:rPr>
          <w:rFonts w:ascii="inter" w:eastAsia="inter" w:hAnsi="inter" w:cs="inter"/>
          <w:color w:val="000000"/>
          <w:sz w:val="18"/>
        </w:rPr>
        <w:t xml:space="preserve"> </w:t>
      </w:r>
    </w:p>
    <w:bookmarkStart w:id="160" w:name="fn8"/>
    <w:bookmarkEnd w:id="160"/>
    <w:p w14:paraId="3C534E9E" w14:textId="77777777" w:rsidR="005216E3" w:rsidRDefault="00000000">
      <w:pPr>
        <w:numPr>
          <w:ilvl w:val="0"/>
          <w:numId w:val="3"/>
        </w:numPr>
        <w:spacing w:after="210" w:line="360" w:lineRule="auto"/>
      </w:pPr>
      <w:r>
        <w:fldChar w:fldCharType="begin"/>
      </w:r>
      <w:r>
        <w:instrText>HYPERLINK "https://www.mdpi.com/2227-9059/9/8/1065/pdf" \h</w:instrText>
      </w:r>
      <w:r>
        <w:fldChar w:fldCharType="separate"/>
      </w:r>
      <w:r>
        <w:rPr>
          <w:rFonts w:ascii="inter" w:eastAsia="inter" w:hAnsi="inter" w:cs="inter"/>
          <w:sz w:val="18"/>
          <w:u w:val="single"/>
        </w:rPr>
        <w:t>https://www.mdpi.com/2227-9059/9/8/1065/pdf</w:t>
      </w:r>
      <w:r>
        <w:fldChar w:fldCharType="end"/>
      </w:r>
      <w:r>
        <w:rPr>
          <w:rFonts w:ascii="inter" w:eastAsia="inter" w:hAnsi="inter" w:cs="inter"/>
          <w:color w:val="000000"/>
          <w:sz w:val="18"/>
        </w:rPr>
        <w:t xml:space="preserve">         </w:t>
      </w:r>
    </w:p>
    <w:bookmarkStart w:id="161" w:name="fn9"/>
    <w:bookmarkEnd w:id="161"/>
    <w:p w14:paraId="62FBD0F3" w14:textId="77777777" w:rsidR="005216E3" w:rsidRDefault="00000000">
      <w:pPr>
        <w:numPr>
          <w:ilvl w:val="0"/>
          <w:numId w:val="3"/>
        </w:numPr>
        <w:spacing w:after="210" w:line="360" w:lineRule="auto"/>
      </w:pPr>
      <w:r>
        <w:fldChar w:fldCharType="begin"/>
      </w:r>
      <w:r>
        <w:instrText>HYPERLINK "https://zh.wikipedia.org/zh-tw/%E4%B8%81%E9%85%B8%E6%A2%AD%E8%8F%8C" \h</w:instrText>
      </w:r>
      <w:r>
        <w:fldChar w:fldCharType="separate"/>
      </w:r>
      <w:r>
        <w:rPr>
          <w:rFonts w:ascii="inter" w:eastAsia="inter" w:hAnsi="inter" w:cs="inter"/>
          <w:sz w:val="18"/>
          <w:u w:val="single"/>
        </w:rPr>
        <w:t>https://zh.wikipedia.org/zh-tw/丁酸梭菌</w:t>
      </w:r>
      <w:r>
        <w:fldChar w:fldCharType="end"/>
      </w:r>
      <w:r>
        <w:rPr>
          <w:rFonts w:ascii="inter" w:eastAsia="inter" w:hAnsi="inter" w:cs="inter"/>
          <w:color w:val="000000"/>
          <w:sz w:val="18"/>
        </w:rPr>
        <w:t xml:space="preserve"> </w:t>
      </w:r>
    </w:p>
    <w:bookmarkStart w:id="162" w:name="fn10"/>
    <w:bookmarkEnd w:id="162"/>
    <w:p w14:paraId="718BD40A" w14:textId="77777777" w:rsidR="005216E3" w:rsidRDefault="00000000">
      <w:pPr>
        <w:numPr>
          <w:ilvl w:val="0"/>
          <w:numId w:val="3"/>
        </w:numPr>
        <w:spacing w:after="210" w:line="360" w:lineRule="auto"/>
      </w:pPr>
      <w:r>
        <w:fldChar w:fldCharType="begin"/>
      </w:r>
      <w:r>
        <w:instrText>HYPERLINK "https://pmc.ncbi.nlm.nih.gov/articles/PMC11018693/" \h</w:instrText>
      </w:r>
      <w:r>
        <w:fldChar w:fldCharType="separate"/>
      </w:r>
      <w:r>
        <w:rPr>
          <w:rFonts w:ascii="inter" w:eastAsia="inter" w:hAnsi="inter" w:cs="inter"/>
          <w:sz w:val="18"/>
          <w:u w:val="single"/>
        </w:rPr>
        <w:t>https://pmc.ncbi.nlm.nih.gov/articles/PMC11018693/</w:t>
      </w:r>
      <w:r>
        <w:fldChar w:fldCharType="end"/>
      </w:r>
      <w:r>
        <w:rPr>
          <w:rFonts w:ascii="inter" w:eastAsia="inter" w:hAnsi="inter" w:cs="inter"/>
          <w:color w:val="000000"/>
          <w:sz w:val="18"/>
        </w:rPr>
        <w:t xml:space="preserve">   </w:t>
      </w:r>
    </w:p>
    <w:bookmarkStart w:id="163" w:name="fn11"/>
    <w:bookmarkEnd w:id="163"/>
    <w:p w14:paraId="1C5274B4" w14:textId="77777777" w:rsidR="005216E3" w:rsidRDefault="00000000">
      <w:pPr>
        <w:numPr>
          <w:ilvl w:val="0"/>
          <w:numId w:val="3"/>
        </w:numPr>
        <w:spacing w:after="210" w:line="360" w:lineRule="auto"/>
      </w:pPr>
      <w:r>
        <w:fldChar w:fldCharType="begin"/>
      </w:r>
      <w:r>
        <w:instrText>HYPERLINK "https://www.nature.com/articles/s41591-022-01694-6" \h</w:instrText>
      </w:r>
      <w:r>
        <w:fldChar w:fldCharType="separate"/>
      </w:r>
      <w:r>
        <w:rPr>
          <w:rFonts w:ascii="inter" w:eastAsia="inter" w:hAnsi="inter" w:cs="inter"/>
          <w:sz w:val="18"/>
          <w:u w:val="single"/>
        </w:rPr>
        <w:t>https://www.nature.com/articles/s41591-022-01694-6</w:t>
      </w:r>
      <w:r>
        <w:fldChar w:fldCharType="end"/>
      </w:r>
      <w:r>
        <w:rPr>
          <w:rFonts w:ascii="inter" w:eastAsia="inter" w:hAnsi="inter" w:cs="inter"/>
          <w:color w:val="000000"/>
          <w:sz w:val="18"/>
        </w:rPr>
        <w:t xml:space="preserve">           </w:t>
      </w:r>
    </w:p>
    <w:bookmarkStart w:id="164" w:name="fn12"/>
    <w:bookmarkEnd w:id="164"/>
    <w:p w14:paraId="2253D49D" w14:textId="77777777" w:rsidR="005216E3" w:rsidRDefault="00000000">
      <w:pPr>
        <w:numPr>
          <w:ilvl w:val="0"/>
          <w:numId w:val="3"/>
        </w:numPr>
        <w:spacing w:after="210" w:line="360" w:lineRule="auto"/>
      </w:pPr>
      <w:r>
        <w:fldChar w:fldCharType="begin"/>
      </w:r>
      <w:r>
        <w:instrText>HYPERLINK "https://academic.oup.com/oncolo/article/29/Supplement_1/S5/7727919" \h</w:instrText>
      </w:r>
      <w:r>
        <w:fldChar w:fldCharType="separate"/>
      </w:r>
      <w:r>
        <w:rPr>
          <w:rFonts w:ascii="inter" w:eastAsia="inter" w:hAnsi="inter" w:cs="inter"/>
          <w:sz w:val="18"/>
          <w:u w:val="single"/>
        </w:rPr>
        <w:t>https://academic.oup.com/oncolo/article/29/Supplement_1/S5/7727919</w:t>
      </w:r>
      <w:r>
        <w:fldChar w:fldCharType="end"/>
      </w:r>
      <w:r>
        <w:rPr>
          <w:rFonts w:ascii="inter" w:eastAsia="inter" w:hAnsi="inter" w:cs="inter"/>
          <w:color w:val="000000"/>
          <w:sz w:val="18"/>
        </w:rPr>
        <w:t xml:space="preserve">     </w:t>
      </w:r>
    </w:p>
    <w:bookmarkStart w:id="165" w:name="fn13"/>
    <w:bookmarkEnd w:id="165"/>
    <w:p w14:paraId="05105FDC" w14:textId="77777777" w:rsidR="005216E3" w:rsidRDefault="00000000">
      <w:pPr>
        <w:numPr>
          <w:ilvl w:val="0"/>
          <w:numId w:val="3"/>
        </w:numPr>
        <w:spacing w:after="210" w:line="360" w:lineRule="auto"/>
      </w:pPr>
      <w:r>
        <w:lastRenderedPageBreak/>
        <w:fldChar w:fldCharType="begin"/>
      </w:r>
      <w:r>
        <w:instrText>HYPERLINK "https://ascopubs.org/doi/10.1200/JCO.2023.41.17_suppl.LBA104" \h</w:instrText>
      </w:r>
      <w:r>
        <w:fldChar w:fldCharType="separate"/>
      </w:r>
      <w:r>
        <w:rPr>
          <w:rFonts w:ascii="inter" w:eastAsia="inter" w:hAnsi="inter" w:cs="inter"/>
          <w:sz w:val="18"/>
          <w:u w:val="single"/>
        </w:rPr>
        <w:t>https://ascopubs.org/doi/10.1200/JCO.2023.41.17_suppl.LBA104</w:t>
      </w:r>
      <w:r>
        <w:fldChar w:fldCharType="end"/>
      </w:r>
      <w:r>
        <w:rPr>
          <w:rFonts w:ascii="inter" w:eastAsia="inter" w:hAnsi="inter" w:cs="inter"/>
          <w:color w:val="000000"/>
          <w:sz w:val="18"/>
        </w:rPr>
        <w:t xml:space="preserve">   </w:t>
      </w:r>
    </w:p>
    <w:bookmarkStart w:id="166" w:name="fn14"/>
    <w:bookmarkEnd w:id="166"/>
    <w:p w14:paraId="603A1FB6" w14:textId="77777777" w:rsidR="005216E3" w:rsidRDefault="00000000">
      <w:pPr>
        <w:numPr>
          <w:ilvl w:val="0"/>
          <w:numId w:val="3"/>
        </w:numPr>
        <w:spacing w:after="210" w:line="360" w:lineRule="auto"/>
      </w:pPr>
      <w:r>
        <w:fldChar w:fldCharType="begin"/>
      </w:r>
      <w:r>
        <w:instrText>HYPERLINK "https://pubmed.ncbi.nlm.nih.gov/38942995/" \h</w:instrText>
      </w:r>
      <w:r>
        <w:fldChar w:fldCharType="separate"/>
      </w:r>
      <w:r>
        <w:rPr>
          <w:rFonts w:ascii="inter" w:eastAsia="inter" w:hAnsi="inter" w:cs="inter"/>
          <w:sz w:val="18"/>
          <w:u w:val="single"/>
        </w:rPr>
        <w:t>https://pubmed.ncbi.nlm.nih.gov/38942995/</w:t>
      </w:r>
      <w:r>
        <w:fldChar w:fldCharType="end"/>
      </w:r>
      <w:r>
        <w:rPr>
          <w:rFonts w:ascii="inter" w:eastAsia="inter" w:hAnsi="inter" w:cs="inter"/>
          <w:color w:val="000000"/>
          <w:sz w:val="18"/>
        </w:rPr>
        <w:t xml:space="preserve">        </w:t>
      </w:r>
    </w:p>
    <w:bookmarkStart w:id="167" w:name="fn15"/>
    <w:bookmarkEnd w:id="167"/>
    <w:p w14:paraId="30DF6A13" w14:textId="77777777" w:rsidR="005216E3" w:rsidRDefault="00000000">
      <w:pPr>
        <w:numPr>
          <w:ilvl w:val="0"/>
          <w:numId w:val="3"/>
        </w:numPr>
        <w:spacing w:after="210" w:line="360" w:lineRule="auto"/>
      </w:pPr>
      <w:r>
        <w:fldChar w:fldCharType="begin"/>
      </w:r>
      <w:r>
        <w:instrText>HYPERLINK "https://www.frontiersin.org/journals/medicine/articles/10.3389/fmed.2025.1655780/pdf" \h</w:instrText>
      </w:r>
      <w:r>
        <w:fldChar w:fldCharType="separate"/>
      </w:r>
      <w:r>
        <w:rPr>
          <w:rFonts w:ascii="inter" w:eastAsia="inter" w:hAnsi="inter" w:cs="inter"/>
          <w:sz w:val="18"/>
          <w:u w:val="single"/>
        </w:rPr>
        <w:t>https://www.frontiersin.org/journals/medicine/articles/10.3389/fmed.2025.1655780/pdf</w:t>
      </w:r>
      <w:r>
        <w:fldChar w:fldCharType="end"/>
      </w:r>
      <w:r>
        <w:rPr>
          <w:rFonts w:ascii="inter" w:eastAsia="inter" w:hAnsi="inter" w:cs="inter"/>
          <w:color w:val="000000"/>
          <w:sz w:val="18"/>
        </w:rPr>
        <w:t xml:space="preserve">  </w:t>
      </w:r>
    </w:p>
    <w:bookmarkStart w:id="168" w:name="fn16"/>
    <w:bookmarkEnd w:id="168"/>
    <w:p w14:paraId="05F53665" w14:textId="77777777" w:rsidR="005216E3" w:rsidRDefault="00000000">
      <w:pPr>
        <w:numPr>
          <w:ilvl w:val="0"/>
          <w:numId w:val="3"/>
        </w:numPr>
        <w:spacing w:after="210" w:line="360" w:lineRule="auto"/>
      </w:pPr>
      <w:r>
        <w:fldChar w:fldCharType="begin"/>
      </w:r>
      <w:r>
        <w:instrText>HYPERLINK "https://pmc.ncbi.nlm.nih.gov/articles/PMC7980534/" \h</w:instrText>
      </w:r>
      <w:r>
        <w:fldChar w:fldCharType="separate"/>
      </w:r>
      <w:r>
        <w:rPr>
          <w:rFonts w:ascii="inter" w:eastAsia="inter" w:hAnsi="inter" w:cs="inter"/>
          <w:sz w:val="18"/>
          <w:u w:val="single"/>
        </w:rPr>
        <w:t>https://pmc.ncbi.nlm.nih.gov/articles/PMC7980534/</w:t>
      </w:r>
      <w:r>
        <w:fldChar w:fldCharType="end"/>
      </w:r>
      <w:r>
        <w:rPr>
          <w:rFonts w:ascii="inter" w:eastAsia="inter" w:hAnsi="inter" w:cs="inter"/>
          <w:color w:val="000000"/>
          <w:sz w:val="18"/>
        </w:rPr>
        <w:t xml:space="preserve">      </w:t>
      </w:r>
    </w:p>
    <w:bookmarkStart w:id="169" w:name="fn17"/>
    <w:bookmarkEnd w:id="169"/>
    <w:p w14:paraId="2B346BDA" w14:textId="77777777" w:rsidR="005216E3" w:rsidRDefault="00000000">
      <w:pPr>
        <w:numPr>
          <w:ilvl w:val="0"/>
          <w:numId w:val="3"/>
        </w:numPr>
        <w:spacing w:after="210" w:line="360" w:lineRule="auto"/>
      </w:pPr>
      <w:r>
        <w:fldChar w:fldCharType="begin"/>
      </w:r>
      <w:r>
        <w:instrText>HYPERLINK "https://pmc.ncbi.nlm.nih.gov/articles/PMC11161410/" \h</w:instrText>
      </w:r>
      <w:r>
        <w:fldChar w:fldCharType="separate"/>
      </w:r>
      <w:r>
        <w:rPr>
          <w:rFonts w:ascii="inter" w:eastAsia="inter" w:hAnsi="inter" w:cs="inter"/>
          <w:sz w:val="18"/>
          <w:u w:val="single"/>
        </w:rPr>
        <w:t>https://pmc.ncbi.nlm.nih.gov/articles/PMC11161410/</w:t>
      </w:r>
      <w:r>
        <w:fldChar w:fldCharType="end"/>
      </w:r>
      <w:r>
        <w:rPr>
          <w:rFonts w:ascii="inter" w:eastAsia="inter" w:hAnsi="inter" w:cs="inter"/>
          <w:color w:val="000000"/>
          <w:sz w:val="18"/>
        </w:rPr>
        <w:t xml:space="preserve">     </w:t>
      </w:r>
    </w:p>
    <w:bookmarkStart w:id="170" w:name="fn18"/>
    <w:bookmarkEnd w:id="170"/>
    <w:p w14:paraId="151A55A7" w14:textId="77777777" w:rsidR="005216E3" w:rsidRDefault="00000000">
      <w:pPr>
        <w:numPr>
          <w:ilvl w:val="0"/>
          <w:numId w:val="3"/>
        </w:numPr>
        <w:spacing w:after="210" w:line="360" w:lineRule="auto"/>
      </w:pPr>
      <w:r>
        <w:fldChar w:fldCharType="begin"/>
      </w:r>
      <w:r>
        <w:instrText>HYPERLINK "https://pmc.ncbi.nlm.nih.gov/articles/PMC10885180/" \h</w:instrText>
      </w:r>
      <w:r>
        <w:fldChar w:fldCharType="separate"/>
      </w:r>
      <w:r>
        <w:rPr>
          <w:rFonts w:ascii="inter" w:eastAsia="inter" w:hAnsi="inter" w:cs="inter"/>
          <w:sz w:val="18"/>
          <w:u w:val="single"/>
        </w:rPr>
        <w:t>https://pmc.ncbi.nlm.nih.gov/articles/PMC10885180/</w:t>
      </w:r>
      <w:r>
        <w:fldChar w:fldCharType="end"/>
      </w:r>
      <w:r>
        <w:rPr>
          <w:rFonts w:ascii="inter" w:eastAsia="inter" w:hAnsi="inter" w:cs="inter"/>
          <w:color w:val="000000"/>
          <w:sz w:val="18"/>
        </w:rPr>
        <w:t xml:space="preserve">     </w:t>
      </w:r>
    </w:p>
    <w:bookmarkStart w:id="171" w:name="fn19"/>
    <w:bookmarkEnd w:id="171"/>
    <w:p w14:paraId="2E5497C6" w14:textId="77777777" w:rsidR="005216E3" w:rsidRDefault="00000000">
      <w:pPr>
        <w:numPr>
          <w:ilvl w:val="0"/>
          <w:numId w:val="3"/>
        </w:numPr>
        <w:spacing w:after="210" w:line="360" w:lineRule="auto"/>
      </w:pPr>
      <w:r>
        <w:fldChar w:fldCharType="begin"/>
      </w:r>
      <w:r>
        <w:instrText>HYPERLINK "https://www.tandfonline.com/doi/full/10.1080/19490976.2024.2315631" \h</w:instrText>
      </w:r>
      <w:r>
        <w:fldChar w:fldCharType="separate"/>
      </w:r>
      <w:r>
        <w:rPr>
          <w:rFonts w:ascii="inter" w:eastAsia="inter" w:hAnsi="inter" w:cs="inter"/>
          <w:sz w:val="18"/>
          <w:u w:val="single"/>
        </w:rPr>
        <w:t>https://www.tandfonline.com/doi/full/10.1080/19490976.2024.2315631</w:t>
      </w:r>
      <w:r>
        <w:fldChar w:fldCharType="end"/>
      </w:r>
      <w:r>
        <w:rPr>
          <w:rFonts w:ascii="inter" w:eastAsia="inter" w:hAnsi="inter" w:cs="inter"/>
          <w:color w:val="000000"/>
          <w:sz w:val="18"/>
        </w:rPr>
        <w:t xml:space="preserve">    </w:t>
      </w:r>
    </w:p>
    <w:bookmarkStart w:id="172" w:name="fn20"/>
    <w:bookmarkEnd w:id="172"/>
    <w:p w14:paraId="7E4F51EE" w14:textId="77777777" w:rsidR="005216E3" w:rsidRDefault="00000000">
      <w:pPr>
        <w:numPr>
          <w:ilvl w:val="0"/>
          <w:numId w:val="3"/>
        </w:numPr>
        <w:spacing w:after="210" w:line="360" w:lineRule="auto"/>
      </w:pPr>
      <w:r>
        <w:fldChar w:fldCharType="begin"/>
      </w:r>
      <w:r>
        <w:instrText>HYPERLINK "https://jtd.amegroups.org/article/view/91647/html" \h</w:instrText>
      </w:r>
      <w:r>
        <w:fldChar w:fldCharType="separate"/>
      </w:r>
      <w:r>
        <w:rPr>
          <w:rFonts w:ascii="inter" w:eastAsia="inter" w:hAnsi="inter" w:cs="inter"/>
          <w:sz w:val="18"/>
          <w:u w:val="single"/>
        </w:rPr>
        <w:t>https://jtd.amegroups.org/article/view/91647/html</w:t>
      </w:r>
      <w:r>
        <w:fldChar w:fldCharType="end"/>
      </w:r>
      <w:r>
        <w:rPr>
          <w:rFonts w:ascii="inter" w:eastAsia="inter" w:hAnsi="inter" w:cs="inter"/>
          <w:color w:val="000000"/>
          <w:sz w:val="18"/>
        </w:rPr>
        <w:t xml:space="preserve">  </w:t>
      </w:r>
    </w:p>
    <w:bookmarkStart w:id="173" w:name="fn21"/>
    <w:bookmarkEnd w:id="173"/>
    <w:p w14:paraId="440710D8" w14:textId="77777777" w:rsidR="005216E3" w:rsidRDefault="00000000">
      <w:pPr>
        <w:numPr>
          <w:ilvl w:val="0"/>
          <w:numId w:val="3"/>
        </w:numPr>
        <w:spacing w:after="210" w:line="360" w:lineRule="auto"/>
      </w:pPr>
      <w:r>
        <w:fldChar w:fldCharType="begin"/>
      </w:r>
      <w:r>
        <w:instrText>HYPERLINK "https://ascopubs.org/doi/10.1200/JCO.2025.43.5_suppl.TPS611" \h</w:instrText>
      </w:r>
      <w:r>
        <w:fldChar w:fldCharType="separate"/>
      </w:r>
      <w:r>
        <w:rPr>
          <w:rFonts w:ascii="inter" w:eastAsia="inter" w:hAnsi="inter" w:cs="inter"/>
          <w:sz w:val="18"/>
          <w:u w:val="single"/>
        </w:rPr>
        <w:t>https://ascopubs.org/doi/10.1200/JCO.2025.43.5_suppl.TPS611</w:t>
      </w:r>
      <w:r>
        <w:fldChar w:fldCharType="end"/>
      </w:r>
      <w:r>
        <w:rPr>
          <w:rFonts w:ascii="inter" w:eastAsia="inter" w:hAnsi="inter" w:cs="inter"/>
          <w:color w:val="000000"/>
          <w:sz w:val="18"/>
        </w:rPr>
        <w:t xml:space="preserve"> </w:t>
      </w:r>
    </w:p>
    <w:bookmarkStart w:id="174" w:name="fn22"/>
    <w:bookmarkEnd w:id="174"/>
    <w:p w14:paraId="5E1E1232" w14:textId="77777777" w:rsidR="005216E3" w:rsidRDefault="00000000">
      <w:pPr>
        <w:numPr>
          <w:ilvl w:val="0"/>
          <w:numId w:val="3"/>
        </w:numPr>
        <w:spacing w:after="210" w:line="360" w:lineRule="auto"/>
      </w:pPr>
      <w:r>
        <w:fldChar w:fldCharType="begin"/>
      </w:r>
      <w:r>
        <w:instrText>HYPERLINK "https://www.clinicaltrials.gov/study/NCT06414642" \h</w:instrText>
      </w:r>
      <w:r>
        <w:fldChar w:fldCharType="separate"/>
      </w:r>
      <w:r>
        <w:rPr>
          <w:rFonts w:ascii="inter" w:eastAsia="inter" w:hAnsi="inter" w:cs="inter"/>
          <w:sz w:val="18"/>
          <w:u w:val="single"/>
        </w:rPr>
        <w:t>https://www.clinicaltrials.gov/study/NCT06414642</w:t>
      </w:r>
      <w:r>
        <w:fldChar w:fldCharType="end"/>
      </w:r>
      <w:r>
        <w:rPr>
          <w:rFonts w:ascii="inter" w:eastAsia="inter" w:hAnsi="inter" w:cs="inter"/>
          <w:color w:val="000000"/>
          <w:sz w:val="18"/>
        </w:rPr>
        <w:t xml:space="preserve"> </w:t>
      </w:r>
    </w:p>
    <w:bookmarkStart w:id="175" w:name="fn23"/>
    <w:bookmarkEnd w:id="175"/>
    <w:p w14:paraId="42ACFF4D" w14:textId="77777777" w:rsidR="005216E3" w:rsidRDefault="00000000">
      <w:pPr>
        <w:numPr>
          <w:ilvl w:val="0"/>
          <w:numId w:val="3"/>
        </w:numPr>
        <w:spacing w:after="210" w:line="360" w:lineRule="auto"/>
      </w:pPr>
      <w:r>
        <w:fldChar w:fldCharType="begin"/>
      </w:r>
      <w:r>
        <w:instrText>HYPERLINK "https://www.jfda-online.com/cgi/viewcontent.cgi?article=1302&amp;context=journal" \h</w:instrText>
      </w:r>
      <w:r>
        <w:fldChar w:fldCharType="separate"/>
      </w:r>
      <w:r>
        <w:rPr>
          <w:rFonts w:ascii="inter" w:eastAsia="inter" w:hAnsi="inter" w:cs="inter"/>
          <w:sz w:val="18"/>
          <w:u w:val="single"/>
        </w:rPr>
        <w:t>https://www.jfda-online.com/cgi/viewcontent.cgi?article=1302&amp;context=journal</w:t>
      </w:r>
      <w:r>
        <w:fldChar w:fldCharType="end"/>
      </w:r>
      <w:r>
        <w:rPr>
          <w:rFonts w:ascii="inter" w:eastAsia="inter" w:hAnsi="inter" w:cs="inter"/>
          <w:color w:val="000000"/>
          <w:sz w:val="18"/>
        </w:rPr>
        <w:t xml:space="preserve">  </w:t>
      </w:r>
    </w:p>
    <w:bookmarkStart w:id="176" w:name="fn24"/>
    <w:bookmarkEnd w:id="176"/>
    <w:p w14:paraId="01CAFF79" w14:textId="77777777" w:rsidR="005216E3" w:rsidRDefault="00000000">
      <w:pPr>
        <w:numPr>
          <w:ilvl w:val="0"/>
          <w:numId w:val="3"/>
        </w:numPr>
        <w:spacing w:after="210" w:line="360" w:lineRule="auto"/>
      </w:pPr>
      <w:r>
        <w:fldChar w:fldCharType="begin"/>
      </w:r>
      <w:r>
        <w:instrText>HYPERLINK "https://ppl-ai-file-upload.s3.amazonaws.com/web/direct-files/attachments/images/79059908/d781b6bf-6530-4aaa-9d16-72fac51e2f06/Jie-Tu-2025-12-27-Wan-Shang-11.51.57.jpg" \h</w:instrText>
      </w:r>
      <w:r>
        <w:fldChar w:fldCharType="separate"/>
      </w:r>
      <w:r>
        <w:rPr>
          <w:rFonts w:ascii="inter" w:eastAsia="inter" w:hAnsi="inter" w:cs="inter"/>
          <w:sz w:val="18"/>
          <w:u w:val="single"/>
        </w:rPr>
        <w:t>https://ppl-ai-file-upload.s3.amazonaws.com/web/direct-files/attachments/images/79059908/d781b6bf-6530-4aaa-9d16-72fac51e2f06/Jie-Tu-2025-12-27-Wan-Shang-11.51.57.jpg</w:t>
      </w:r>
      <w:r>
        <w:fldChar w:fldCharType="end"/>
      </w:r>
      <w:r>
        <w:rPr>
          <w:rFonts w:ascii="inter" w:eastAsia="inter" w:hAnsi="inter" w:cs="inter"/>
          <w:color w:val="000000"/>
          <w:sz w:val="18"/>
        </w:rPr>
        <w:t xml:space="preserve"> </w:t>
      </w:r>
    </w:p>
    <w:bookmarkStart w:id="177" w:name="fn25"/>
    <w:bookmarkEnd w:id="177"/>
    <w:p w14:paraId="63B777E8" w14:textId="77777777" w:rsidR="005216E3" w:rsidRDefault="00000000">
      <w:pPr>
        <w:numPr>
          <w:ilvl w:val="0"/>
          <w:numId w:val="3"/>
        </w:numPr>
        <w:spacing w:after="210" w:line="360" w:lineRule="auto"/>
      </w:pPr>
      <w:r>
        <w:fldChar w:fldCharType="begin"/>
      </w:r>
      <w:r>
        <w:instrText>HYPERLINK "https://www.tandfonline.com/doi/pdf/10.1080/19490976.2024.2315631?needAccess=true" \h</w:instrText>
      </w:r>
      <w:r>
        <w:fldChar w:fldCharType="separate"/>
      </w:r>
      <w:r>
        <w:rPr>
          <w:rFonts w:ascii="inter" w:eastAsia="inter" w:hAnsi="inter" w:cs="inter"/>
          <w:sz w:val="18"/>
          <w:u w:val="single"/>
        </w:rPr>
        <w:t>https://www.tandfonline.com/doi/pdf/10.1080/19490976.2024.2315631?needAccess=true</w:t>
      </w:r>
      <w:r>
        <w:fldChar w:fldCharType="end"/>
      </w:r>
      <w:r>
        <w:rPr>
          <w:rFonts w:ascii="inter" w:eastAsia="inter" w:hAnsi="inter" w:cs="inter"/>
          <w:color w:val="000000"/>
          <w:sz w:val="18"/>
        </w:rPr>
        <w:t xml:space="preserve"> </w:t>
      </w:r>
    </w:p>
    <w:bookmarkStart w:id="178" w:name="fn26"/>
    <w:bookmarkEnd w:id="178"/>
    <w:p w14:paraId="107FECE8" w14:textId="77777777" w:rsidR="005216E3" w:rsidRDefault="00000000">
      <w:pPr>
        <w:numPr>
          <w:ilvl w:val="0"/>
          <w:numId w:val="3"/>
        </w:numPr>
        <w:spacing w:after="210" w:line="360" w:lineRule="auto"/>
      </w:pPr>
      <w:r>
        <w:fldChar w:fldCharType="begin"/>
      </w:r>
      <w:r>
        <w:instrText>HYPERLINK "https://www.mdpi.com/2072-6643/10/12/1921/pdf" \h</w:instrText>
      </w:r>
      <w:r>
        <w:fldChar w:fldCharType="separate"/>
      </w:r>
      <w:r>
        <w:rPr>
          <w:rFonts w:ascii="inter" w:eastAsia="inter" w:hAnsi="inter" w:cs="inter"/>
          <w:sz w:val="18"/>
          <w:u w:val="single"/>
        </w:rPr>
        <w:t>https://www.mdpi.com/2072-6643/10/12/1921/pdf</w:t>
      </w:r>
      <w:r>
        <w:fldChar w:fldCharType="end"/>
      </w:r>
      <w:r>
        <w:rPr>
          <w:rFonts w:ascii="inter" w:eastAsia="inter" w:hAnsi="inter" w:cs="inter"/>
          <w:color w:val="000000"/>
          <w:sz w:val="18"/>
        </w:rPr>
        <w:t xml:space="preserve"> </w:t>
      </w:r>
    </w:p>
    <w:bookmarkStart w:id="179" w:name="fn27"/>
    <w:bookmarkEnd w:id="179"/>
    <w:p w14:paraId="16B040CC" w14:textId="77777777" w:rsidR="005216E3" w:rsidRDefault="00000000">
      <w:pPr>
        <w:numPr>
          <w:ilvl w:val="0"/>
          <w:numId w:val="3"/>
        </w:numPr>
        <w:spacing w:after="210" w:line="360" w:lineRule="auto"/>
      </w:pPr>
      <w:r>
        <w:fldChar w:fldCharType="begin"/>
      </w:r>
      <w:r>
        <w:instrText>HYPERLINK "https://www.mdpi.com/2072-6694/16/1/47/pdf?version=1703207675" \h</w:instrText>
      </w:r>
      <w:r>
        <w:fldChar w:fldCharType="separate"/>
      </w:r>
      <w:r>
        <w:rPr>
          <w:rFonts w:ascii="inter" w:eastAsia="inter" w:hAnsi="inter" w:cs="inter"/>
          <w:sz w:val="18"/>
          <w:u w:val="single"/>
        </w:rPr>
        <w:t>https://www.mdpi.com/2072-6694/16/1/47/pdf?version=1703207675</w:t>
      </w:r>
      <w:r>
        <w:fldChar w:fldCharType="end"/>
      </w:r>
      <w:r>
        <w:rPr>
          <w:rFonts w:ascii="inter" w:eastAsia="inter" w:hAnsi="inter" w:cs="inter"/>
          <w:color w:val="000000"/>
          <w:sz w:val="18"/>
        </w:rPr>
        <w:t xml:space="preserve"> </w:t>
      </w:r>
    </w:p>
    <w:bookmarkStart w:id="180" w:name="fn28"/>
    <w:bookmarkEnd w:id="180"/>
    <w:p w14:paraId="02B294A6" w14:textId="77777777" w:rsidR="005216E3" w:rsidRDefault="00000000">
      <w:pPr>
        <w:numPr>
          <w:ilvl w:val="0"/>
          <w:numId w:val="3"/>
        </w:numPr>
        <w:spacing w:after="210" w:line="360" w:lineRule="auto"/>
      </w:pPr>
      <w:r>
        <w:fldChar w:fldCharType="begin"/>
      </w:r>
      <w:r>
        <w:instrText>HYPERLINK "https://pmc.ncbi.nlm.nih.gov/articles/PMC10946100/" \h</w:instrText>
      </w:r>
      <w:r>
        <w:fldChar w:fldCharType="separate"/>
      </w:r>
      <w:r>
        <w:rPr>
          <w:rFonts w:ascii="inter" w:eastAsia="inter" w:hAnsi="inter" w:cs="inter"/>
          <w:sz w:val="18"/>
          <w:u w:val="single"/>
        </w:rPr>
        <w:t>https://pmc.ncbi.nlm.nih.gov/articles/PMC10946100/</w:t>
      </w:r>
      <w:r>
        <w:fldChar w:fldCharType="end"/>
      </w:r>
      <w:r>
        <w:rPr>
          <w:rFonts w:ascii="inter" w:eastAsia="inter" w:hAnsi="inter" w:cs="inter"/>
          <w:color w:val="000000"/>
          <w:sz w:val="18"/>
        </w:rPr>
        <w:t xml:space="preserve"> </w:t>
      </w:r>
    </w:p>
    <w:bookmarkStart w:id="181" w:name="fn29"/>
    <w:bookmarkEnd w:id="181"/>
    <w:p w14:paraId="17FD632C" w14:textId="77777777" w:rsidR="005216E3" w:rsidRDefault="00000000">
      <w:pPr>
        <w:numPr>
          <w:ilvl w:val="0"/>
          <w:numId w:val="3"/>
        </w:numPr>
        <w:spacing w:after="210" w:line="360" w:lineRule="auto"/>
      </w:pPr>
      <w:r>
        <w:fldChar w:fldCharType="begin"/>
      </w:r>
      <w:r>
        <w:instrText>HYPERLINK "https://pmc.ncbi.nlm.nih.gov/articles/PMC12325897/" \h</w:instrText>
      </w:r>
      <w:r>
        <w:fldChar w:fldCharType="separate"/>
      </w:r>
      <w:r>
        <w:rPr>
          <w:rFonts w:ascii="inter" w:eastAsia="inter" w:hAnsi="inter" w:cs="inter"/>
          <w:sz w:val="18"/>
          <w:u w:val="single"/>
        </w:rPr>
        <w:t>https://pmc.ncbi.nlm.nih.gov/articles/PMC12325897/</w:t>
      </w:r>
      <w:r>
        <w:fldChar w:fldCharType="end"/>
      </w:r>
      <w:r>
        <w:rPr>
          <w:rFonts w:ascii="inter" w:eastAsia="inter" w:hAnsi="inter" w:cs="inter"/>
          <w:color w:val="000000"/>
          <w:sz w:val="18"/>
        </w:rPr>
        <w:t xml:space="preserve"> </w:t>
      </w:r>
    </w:p>
    <w:bookmarkStart w:id="182" w:name="fn30"/>
    <w:bookmarkEnd w:id="182"/>
    <w:p w14:paraId="6ED251AC" w14:textId="77777777" w:rsidR="005216E3" w:rsidRDefault="00000000">
      <w:pPr>
        <w:numPr>
          <w:ilvl w:val="0"/>
          <w:numId w:val="3"/>
        </w:numPr>
        <w:spacing w:after="210" w:line="360" w:lineRule="auto"/>
      </w:pPr>
      <w:r>
        <w:fldChar w:fldCharType="begin"/>
      </w:r>
      <w:r>
        <w:instrText>HYPERLINK "https://www.techscience.com/or/v33n12/64644/html" \h</w:instrText>
      </w:r>
      <w:r>
        <w:fldChar w:fldCharType="separate"/>
      </w:r>
      <w:r>
        <w:rPr>
          <w:rFonts w:ascii="inter" w:eastAsia="inter" w:hAnsi="inter" w:cs="inter"/>
          <w:sz w:val="18"/>
          <w:u w:val="single"/>
        </w:rPr>
        <w:t>https://www.techscience.com/or/v33n12/64644/html</w:t>
      </w:r>
      <w:r>
        <w:fldChar w:fldCharType="end"/>
      </w:r>
      <w:r>
        <w:rPr>
          <w:rFonts w:ascii="inter" w:eastAsia="inter" w:hAnsi="inter" w:cs="inter"/>
          <w:color w:val="000000"/>
          <w:sz w:val="18"/>
        </w:rPr>
        <w:t xml:space="preserve"> </w:t>
      </w:r>
    </w:p>
    <w:bookmarkStart w:id="183" w:name="fn31"/>
    <w:bookmarkEnd w:id="183"/>
    <w:p w14:paraId="1594174B" w14:textId="77777777" w:rsidR="005216E3" w:rsidRDefault="00000000">
      <w:pPr>
        <w:numPr>
          <w:ilvl w:val="0"/>
          <w:numId w:val="3"/>
        </w:numPr>
        <w:spacing w:after="210" w:line="360" w:lineRule="auto"/>
      </w:pPr>
      <w:r>
        <w:fldChar w:fldCharType="begin"/>
      </w:r>
      <w:r>
        <w:instrText>HYPERLINK "https://nyaspubs.onlinelibrary.wiley.com/doi/abs/10.1111/nyas.15058" \h</w:instrText>
      </w:r>
      <w:r>
        <w:fldChar w:fldCharType="separate"/>
      </w:r>
      <w:r>
        <w:rPr>
          <w:rFonts w:ascii="inter" w:eastAsia="inter" w:hAnsi="inter" w:cs="inter"/>
          <w:sz w:val="18"/>
          <w:u w:val="single"/>
        </w:rPr>
        <w:t>https://nyaspubs.onlinelibrary.wiley.com/doi/abs/10.1111/nyas.15058</w:t>
      </w:r>
      <w:r>
        <w:fldChar w:fldCharType="end"/>
      </w:r>
      <w:r>
        <w:rPr>
          <w:rFonts w:ascii="inter" w:eastAsia="inter" w:hAnsi="inter" w:cs="inter"/>
          <w:color w:val="000000"/>
          <w:sz w:val="18"/>
        </w:rPr>
        <w:t xml:space="preserve"> </w:t>
      </w:r>
    </w:p>
    <w:bookmarkStart w:id="184" w:name="fn32"/>
    <w:bookmarkEnd w:id="184"/>
    <w:p w14:paraId="6D4E499F" w14:textId="77777777" w:rsidR="005216E3" w:rsidRDefault="00000000">
      <w:pPr>
        <w:numPr>
          <w:ilvl w:val="0"/>
          <w:numId w:val="3"/>
        </w:numPr>
        <w:spacing w:after="210" w:line="360" w:lineRule="auto"/>
      </w:pPr>
      <w:r>
        <w:fldChar w:fldCharType="begin"/>
      </w:r>
      <w:r>
        <w:instrText>HYPERLINK "https://www.frontiersin.org/journals/microbiomes/articles/10.3389/frmbi.2024.1441290/full" \h</w:instrText>
      </w:r>
      <w:r>
        <w:fldChar w:fldCharType="separate"/>
      </w:r>
      <w:r>
        <w:rPr>
          <w:rFonts w:ascii="inter" w:eastAsia="inter" w:hAnsi="inter" w:cs="inter"/>
          <w:sz w:val="18"/>
          <w:u w:val="single"/>
        </w:rPr>
        <w:t>https://www.frontiersin.org/journals/microbiomes/articles/10.3389/frmbi.2024.1441290/full</w:t>
      </w:r>
      <w:r>
        <w:fldChar w:fldCharType="end"/>
      </w:r>
      <w:r>
        <w:rPr>
          <w:rFonts w:ascii="inter" w:eastAsia="inter" w:hAnsi="inter" w:cs="inter"/>
          <w:color w:val="000000"/>
          <w:sz w:val="18"/>
        </w:rPr>
        <w:t xml:space="preserve"> </w:t>
      </w:r>
    </w:p>
    <w:bookmarkStart w:id="185" w:name="fn33"/>
    <w:bookmarkEnd w:id="185"/>
    <w:p w14:paraId="6F6B4D7F" w14:textId="77777777" w:rsidR="005216E3" w:rsidRDefault="00000000">
      <w:pPr>
        <w:numPr>
          <w:ilvl w:val="0"/>
          <w:numId w:val="3"/>
        </w:numPr>
        <w:spacing w:after="210" w:line="360" w:lineRule="auto"/>
      </w:pPr>
      <w:r>
        <w:fldChar w:fldCharType="begin"/>
      </w:r>
      <w:r>
        <w:instrText>HYPERLINK "https://journals.asm.org/doi/10.1128/spectrum.00178-25" \h</w:instrText>
      </w:r>
      <w:r>
        <w:fldChar w:fldCharType="separate"/>
      </w:r>
      <w:r>
        <w:rPr>
          <w:rFonts w:ascii="inter" w:eastAsia="inter" w:hAnsi="inter" w:cs="inter"/>
          <w:sz w:val="18"/>
          <w:u w:val="single"/>
        </w:rPr>
        <w:t>https://journals.asm.org/doi/10.1128/spectrum.00178-25</w:t>
      </w:r>
      <w:r>
        <w:fldChar w:fldCharType="end"/>
      </w:r>
      <w:r>
        <w:rPr>
          <w:rFonts w:ascii="inter" w:eastAsia="inter" w:hAnsi="inter" w:cs="inter"/>
          <w:color w:val="000000"/>
          <w:sz w:val="18"/>
        </w:rPr>
        <w:t xml:space="preserve"> </w:t>
      </w:r>
    </w:p>
    <w:bookmarkStart w:id="186" w:name="fn34"/>
    <w:bookmarkEnd w:id="186"/>
    <w:p w14:paraId="02890131" w14:textId="77777777" w:rsidR="005216E3" w:rsidRDefault="00000000">
      <w:pPr>
        <w:numPr>
          <w:ilvl w:val="0"/>
          <w:numId w:val="3"/>
        </w:numPr>
        <w:spacing w:after="210" w:line="360" w:lineRule="auto"/>
      </w:pPr>
      <w:r>
        <w:fldChar w:fldCharType="begin"/>
      </w:r>
      <w:r>
        <w:instrText>HYPERLINK "https://www.dovepress.com/worldwide-research-trends-on-lung-cancer-and-microbiota-a-bibliometric-peer-reviewed-fulltext-article-JMDH" \h</w:instrText>
      </w:r>
      <w:r>
        <w:fldChar w:fldCharType="separate"/>
      </w:r>
      <w:r>
        <w:rPr>
          <w:rFonts w:ascii="inter" w:eastAsia="inter" w:hAnsi="inter" w:cs="inter"/>
          <w:sz w:val="18"/>
          <w:u w:val="single"/>
        </w:rPr>
        <w:t>https://www.dovepress.com/worldwide-research-trends-on-lung-cancer-and-microbiota-a-bibliometric-peer-reviewed-fulltext-article-JMDH</w:t>
      </w:r>
      <w:r>
        <w:fldChar w:fldCharType="end"/>
      </w:r>
      <w:r>
        <w:rPr>
          <w:rFonts w:ascii="inter" w:eastAsia="inter" w:hAnsi="inter" w:cs="inter"/>
          <w:color w:val="000000"/>
          <w:sz w:val="18"/>
        </w:rPr>
        <w:t xml:space="preserve"> </w:t>
      </w:r>
    </w:p>
    <w:sectPr w:rsidR="005216E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106"/>
    <w:multiLevelType w:val="hybridMultilevel"/>
    <w:tmpl w:val="F0FA6EB0"/>
    <w:lvl w:ilvl="0" w:tplc="C138018E">
      <w:start w:val="1"/>
      <w:numFmt w:val="decimal"/>
      <w:lvlText w:val="%1."/>
      <w:lvlJc w:val="left"/>
      <w:pPr>
        <w:tabs>
          <w:tab w:val="num" w:pos="900"/>
        </w:tabs>
        <w:ind w:left="540" w:hanging="360"/>
      </w:pPr>
    </w:lvl>
    <w:lvl w:ilvl="1" w:tplc="E2044BDA">
      <w:numFmt w:val="decimal"/>
      <w:lvlText w:val=""/>
      <w:lvlJc w:val="left"/>
    </w:lvl>
    <w:lvl w:ilvl="2" w:tplc="79E6CC66">
      <w:numFmt w:val="decimal"/>
      <w:lvlText w:val=""/>
      <w:lvlJc w:val="left"/>
    </w:lvl>
    <w:lvl w:ilvl="3" w:tplc="0CF6B72C">
      <w:numFmt w:val="decimal"/>
      <w:lvlText w:val=""/>
      <w:lvlJc w:val="left"/>
    </w:lvl>
    <w:lvl w:ilvl="4" w:tplc="B67A168E">
      <w:numFmt w:val="decimal"/>
      <w:lvlText w:val=""/>
      <w:lvlJc w:val="left"/>
    </w:lvl>
    <w:lvl w:ilvl="5" w:tplc="8D405B58">
      <w:numFmt w:val="decimal"/>
      <w:lvlText w:val=""/>
      <w:lvlJc w:val="left"/>
    </w:lvl>
    <w:lvl w:ilvl="6" w:tplc="CE5085FE">
      <w:numFmt w:val="decimal"/>
      <w:lvlText w:val=""/>
      <w:lvlJc w:val="left"/>
    </w:lvl>
    <w:lvl w:ilvl="7" w:tplc="E4DED82C">
      <w:numFmt w:val="decimal"/>
      <w:lvlText w:val=""/>
      <w:lvlJc w:val="left"/>
    </w:lvl>
    <w:lvl w:ilvl="8" w:tplc="AF7A8CE2">
      <w:numFmt w:val="decimal"/>
      <w:lvlText w:val=""/>
      <w:lvlJc w:val="left"/>
    </w:lvl>
  </w:abstractNum>
  <w:abstractNum w:abstractNumId="1" w15:restartNumberingAfterBreak="0">
    <w:nsid w:val="4BFE12C8"/>
    <w:multiLevelType w:val="hybridMultilevel"/>
    <w:tmpl w:val="8E1C674C"/>
    <w:lvl w:ilvl="0" w:tplc="4EBAB028">
      <w:start w:val="1"/>
      <w:numFmt w:val="decimal"/>
      <w:lvlText w:val="%1."/>
      <w:lvlJc w:val="left"/>
      <w:pPr>
        <w:tabs>
          <w:tab w:val="num" w:pos="900"/>
        </w:tabs>
        <w:ind w:left="540" w:hanging="360"/>
      </w:pPr>
    </w:lvl>
    <w:lvl w:ilvl="1" w:tplc="7A5EE02A">
      <w:numFmt w:val="decimal"/>
      <w:lvlText w:val=""/>
      <w:lvlJc w:val="left"/>
    </w:lvl>
    <w:lvl w:ilvl="2" w:tplc="28E424DC">
      <w:numFmt w:val="decimal"/>
      <w:lvlText w:val=""/>
      <w:lvlJc w:val="left"/>
    </w:lvl>
    <w:lvl w:ilvl="3" w:tplc="75EC6816">
      <w:numFmt w:val="decimal"/>
      <w:lvlText w:val=""/>
      <w:lvlJc w:val="left"/>
    </w:lvl>
    <w:lvl w:ilvl="4" w:tplc="AFFABBCC">
      <w:numFmt w:val="decimal"/>
      <w:lvlText w:val=""/>
      <w:lvlJc w:val="left"/>
    </w:lvl>
    <w:lvl w:ilvl="5" w:tplc="16D2C5BA">
      <w:numFmt w:val="decimal"/>
      <w:lvlText w:val=""/>
      <w:lvlJc w:val="left"/>
    </w:lvl>
    <w:lvl w:ilvl="6" w:tplc="01C06536">
      <w:numFmt w:val="decimal"/>
      <w:lvlText w:val=""/>
      <w:lvlJc w:val="left"/>
    </w:lvl>
    <w:lvl w:ilvl="7" w:tplc="62F0F412">
      <w:numFmt w:val="decimal"/>
      <w:lvlText w:val=""/>
      <w:lvlJc w:val="left"/>
    </w:lvl>
    <w:lvl w:ilvl="8" w:tplc="D616A908">
      <w:numFmt w:val="decimal"/>
      <w:lvlText w:val=""/>
      <w:lvlJc w:val="left"/>
    </w:lvl>
  </w:abstractNum>
  <w:abstractNum w:abstractNumId="2" w15:restartNumberingAfterBreak="0">
    <w:nsid w:val="74E83F82"/>
    <w:multiLevelType w:val="hybridMultilevel"/>
    <w:tmpl w:val="44D07026"/>
    <w:lvl w:ilvl="0" w:tplc="EA30D5A2">
      <w:numFmt w:val="decimal"/>
      <w:lvlText w:val=""/>
      <w:lvlJc w:val="left"/>
    </w:lvl>
    <w:lvl w:ilvl="1" w:tplc="3DBCAED6">
      <w:numFmt w:val="decimal"/>
      <w:lvlText w:val=""/>
      <w:lvlJc w:val="left"/>
    </w:lvl>
    <w:lvl w:ilvl="2" w:tplc="D340C6F4">
      <w:numFmt w:val="decimal"/>
      <w:lvlText w:val=""/>
      <w:lvlJc w:val="left"/>
    </w:lvl>
    <w:lvl w:ilvl="3" w:tplc="1862D152">
      <w:numFmt w:val="decimal"/>
      <w:lvlText w:val=""/>
      <w:lvlJc w:val="left"/>
    </w:lvl>
    <w:lvl w:ilvl="4" w:tplc="B8400684">
      <w:numFmt w:val="decimal"/>
      <w:lvlText w:val=""/>
      <w:lvlJc w:val="left"/>
    </w:lvl>
    <w:lvl w:ilvl="5" w:tplc="33D280E8">
      <w:numFmt w:val="decimal"/>
      <w:lvlText w:val=""/>
      <w:lvlJc w:val="left"/>
    </w:lvl>
    <w:lvl w:ilvl="6" w:tplc="AC389204">
      <w:numFmt w:val="decimal"/>
      <w:lvlText w:val=""/>
      <w:lvlJc w:val="left"/>
    </w:lvl>
    <w:lvl w:ilvl="7" w:tplc="497A2246">
      <w:numFmt w:val="decimal"/>
      <w:lvlText w:val=""/>
      <w:lvlJc w:val="left"/>
    </w:lvl>
    <w:lvl w:ilvl="8" w:tplc="4BAA0C5E">
      <w:numFmt w:val="decimal"/>
      <w:lvlText w:val=""/>
      <w:lvlJc w:val="left"/>
    </w:lvl>
  </w:abstractNum>
  <w:num w:numId="1" w16cid:durableId="1367026046">
    <w:abstractNumId w:val="1"/>
  </w:num>
  <w:num w:numId="2" w16cid:durableId="1653867888">
    <w:abstractNumId w:val="2"/>
  </w:num>
  <w:num w:numId="3" w16cid:durableId="9857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E3"/>
    <w:rsid w:val="004949C0"/>
    <w:rsid w:val="005216E3"/>
    <w:rsid w:val="006D6581"/>
    <w:rsid w:val="00D616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BD4A71B"/>
  <w15:docId w15:val="{55BAAC64-63CB-2243-BAA7-29C6498D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pl-PL"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2747</Words>
  <Characters>15658</Characters>
  <Application>Microsoft Office Word</Application>
  <DocSecurity>0</DocSecurity>
  <Lines>130</Lines>
  <Paragraphs>36</Paragraphs>
  <ScaleCrop>false</ScaleCrop>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HF23757</cp:lastModifiedBy>
  <cp:revision>2</cp:revision>
  <dcterms:created xsi:type="dcterms:W3CDTF">2025-12-28T12:33:00Z</dcterms:created>
  <dcterms:modified xsi:type="dcterms:W3CDTF">2025-12-28T12:34:00Z</dcterms:modified>
</cp:coreProperties>
</file>